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112" w:type="dxa"/>
        <w:tblLook w:val="04A0" w:firstRow="1" w:lastRow="0" w:firstColumn="1" w:lastColumn="0" w:noHBand="0" w:noVBand="1"/>
      </w:tblPr>
      <w:tblGrid>
        <w:gridCol w:w="5787"/>
        <w:gridCol w:w="7325"/>
      </w:tblGrid>
      <w:tr w:rsidR="00AB1E2D" w:rsidRPr="006421EA" w14:paraId="70B507AB" w14:textId="77777777" w:rsidTr="00520423">
        <w:trPr>
          <w:trHeight w:val="1096"/>
        </w:trPr>
        <w:tc>
          <w:tcPr>
            <w:tcW w:w="5787" w:type="dxa"/>
          </w:tcPr>
          <w:p w14:paraId="6B4A2DA2" w14:textId="77777777" w:rsidR="00AB1E2D" w:rsidRPr="006421EA" w:rsidRDefault="00AB1E2D" w:rsidP="006421EA">
            <w:pPr>
              <w:ind w:right="-8"/>
              <w:jc w:val="center"/>
              <w:rPr>
                <w:b/>
                <w:sz w:val="26"/>
                <w:szCs w:val="26"/>
                <w:lang w:val="nl-NL"/>
              </w:rPr>
            </w:pPr>
            <w:r w:rsidRPr="006421EA">
              <w:rPr>
                <w:b/>
                <w:sz w:val="26"/>
                <w:szCs w:val="26"/>
                <w:lang w:val="nl-NL"/>
              </w:rPr>
              <w:t>BỘ XÂY DỰNG</w:t>
            </w:r>
          </w:p>
          <w:p w14:paraId="17C5915F" w14:textId="77777777" w:rsidR="00AB1E2D" w:rsidRPr="006421EA" w:rsidRDefault="00AB1E2D" w:rsidP="006421EA">
            <w:pPr>
              <w:ind w:right="-8"/>
              <w:jc w:val="center"/>
              <w:rPr>
                <w:b/>
                <w:sz w:val="26"/>
                <w:szCs w:val="26"/>
                <w:lang w:val="nl-NL"/>
              </w:rPr>
            </w:pPr>
            <w:r w:rsidRPr="006421EA">
              <w:rPr>
                <w:b/>
                <w:sz w:val="26"/>
                <w:szCs w:val="26"/>
                <w:lang w:val="nl-NL"/>
              </w:rPr>
              <w:t>____________________</w:t>
            </w:r>
          </w:p>
        </w:tc>
        <w:tc>
          <w:tcPr>
            <w:tcW w:w="7325" w:type="dxa"/>
          </w:tcPr>
          <w:p w14:paraId="1166A42F" w14:textId="77777777" w:rsidR="00AB1E2D" w:rsidRPr="006421EA" w:rsidRDefault="00AB1E2D" w:rsidP="006421EA">
            <w:pPr>
              <w:ind w:right="-6"/>
              <w:jc w:val="center"/>
              <w:rPr>
                <w:b/>
                <w:sz w:val="26"/>
                <w:szCs w:val="26"/>
                <w:lang w:val="nl-NL"/>
              </w:rPr>
            </w:pPr>
            <w:r w:rsidRPr="006421EA">
              <w:rPr>
                <w:b/>
                <w:sz w:val="26"/>
                <w:szCs w:val="26"/>
                <w:lang w:val="nl-NL"/>
              </w:rPr>
              <w:t>CỘNG HÒA XÃ HỘI CHỦ NGHĨA VIỆT NAM</w:t>
            </w:r>
          </w:p>
          <w:p w14:paraId="29B55B2B" w14:textId="77777777" w:rsidR="00AB1E2D" w:rsidRPr="006421EA" w:rsidRDefault="00AB1E2D" w:rsidP="006421EA">
            <w:pPr>
              <w:ind w:right="-6"/>
              <w:jc w:val="center"/>
              <w:rPr>
                <w:b/>
                <w:sz w:val="26"/>
                <w:szCs w:val="26"/>
              </w:rPr>
            </w:pPr>
            <w:r w:rsidRPr="006421EA">
              <w:rPr>
                <w:b/>
                <w:noProof/>
                <w:sz w:val="26"/>
                <w:szCs w:val="26"/>
                <w14:ligatures w14:val="standardContextual"/>
              </w:rPr>
              <mc:AlternateContent>
                <mc:Choice Requires="wps">
                  <w:drawing>
                    <wp:anchor distT="0" distB="0" distL="114300" distR="114300" simplePos="0" relativeHeight="251662336" behindDoc="0" locked="0" layoutInCell="1" allowOverlap="1" wp14:anchorId="6BF42E3E" wp14:editId="119EFBEF">
                      <wp:simplePos x="0" y="0"/>
                      <wp:positionH relativeFrom="column">
                        <wp:posOffset>1478945</wp:posOffset>
                      </wp:positionH>
                      <wp:positionV relativeFrom="paragraph">
                        <wp:posOffset>206527</wp:posOffset>
                      </wp:positionV>
                      <wp:extent cx="147837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783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A6424A"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6.45pt,16.25pt" to="232.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" strokecolor="black [3200]" strokeweight=".5pt">
                      <v:stroke joinstyle="miter"/>
                    </v:line>
                  </w:pict>
                </mc:Fallback>
              </mc:AlternateContent>
            </w:r>
            <w:r w:rsidRPr="006421EA">
              <w:rPr>
                <w:b/>
                <w:sz w:val="26"/>
                <w:szCs w:val="26"/>
              </w:rPr>
              <w:t>Độc lập – Tự do – Hạnh phúc</w:t>
            </w:r>
          </w:p>
          <w:p w14:paraId="2D774E06" w14:textId="77777777" w:rsidR="00AB1E2D" w:rsidRPr="006421EA" w:rsidRDefault="00AB1E2D" w:rsidP="006421EA">
            <w:pPr>
              <w:ind w:right="-8"/>
              <w:jc w:val="center"/>
              <w:rPr>
                <w:b/>
                <w:sz w:val="26"/>
                <w:szCs w:val="26"/>
              </w:rPr>
            </w:pPr>
          </w:p>
          <w:p w14:paraId="54F90802" w14:textId="0F2E144D" w:rsidR="00AB1E2D" w:rsidRPr="006421EA" w:rsidRDefault="00AB1E2D" w:rsidP="006421EA">
            <w:pPr>
              <w:ind w:right="-8"/>
              <w:jc w:val="center"/>
              <w:rPr>
                <w:i/>
                <w:sz w:val="26"/>
                <w:szCs w:val="26"/>
              </w:rPr>
            </w:pPr>
            <w:r w:rsidRPr="006421EA">
              <w:rPr>
                <w:i/>
                <w:sz w:val="26"/>
                <w:szCs w:val="26"/>
              </w:rPr>
              <w:t xml:space="preserve">Hà Nội, ngày </w:t>
            </w:r>
            <w:r w:rsidR="00BE10A2" w:rsidRPr="006421EA">
              <w:rPr>
                <w:i/>
                <w:sz w:val="26"/>
                <w:szCs w:val="26"/>
              </w:rPr>
              <w:t xml:space="preserve">      </w:t>
            </w:r>
            <w:r w:rsidR="00E557C9" w:rsidRPr="006421EA">
              <w:rPr>
                <w:i/>
                <w:sz w:val="26"/>
                <w:szCs w:val="26"/>
              </w:rPr>
              <w:t xml:space="preserve"> tháng </w:t>
            </w:r>
            <w:r w:rsidR="00A629DC" w:rsidRPr="006421EA">
              <w:rPr>
                <w:i/>
                <w:sz w:val="26"/>
                <w:szCs w:val="26"/>
              </w:rPr>
              <w:t>0</w:t>
            </w:r>
            <w:r w:rsidR="00A73A97" w:rsidRPr="006421EA">
              <w:rPr>
                <w:i/>
                <w:sz w:val="26"/>
                <w:szCs w:val="26"/>
              </w:rPr>
              <w:t>3</w:t>
            </w:r>
            <w:r w:rsidR="00866B95" w:rsidRPr="006421EA">
              <w:rPr>
                <w:i/>
                <w:sz w:val="26"/>
                <w:szCs w:val="26"/>
              </w:rPr>
              <w:t xml:space="preserve"> </w:t>
            </w:r>
            <w:r w:rsidRPr="006421EA">
              <w:rPr>
                <w:i/>
                <w:sz w:val="26"/>
                <w:szCs w:val="26"/>
              </w:rPr>
              <w:t xml:space="preserve"> năm 202</w:t>
            </w:r>
            <w:r w:rsidR="00A629DC" w:rsidRPr="006421EA">
              <w:rPr>
                <w:i/>
                <w:sz w:val="26"/>
                <w:szCs w:val="26"/>
              </w:rPr>
              <w:t>6</w:t>
            </w:r>
          </w:p>
        </w:tc>
      </w:tr>
    </w:tbl>
    <w:p w14:paraId="6B9AF827" w14:textId="209522B9" w:rsidR="003354A3" w:rsidRPr="006421EA" w:rsidRDefault="003354A3" w:rsidP="006421EA">
      <w:pPr>
        <w:rPr>
          <w:sz w:val="26"/>
          <w:szCs w:val="26"/>
          <w:lang w:val="vi-VN"/>
        </w:rPr>
      </w:pPr>
    </w:p>
    <w:p w14:paraId="35EF1D2F" w14:textId="3714CCA4" w:rsidR="004A0713" w:rsidRPr="006421EA" w:rsidRDefault="001C06E6" w:rsidP="006421EA">
      <w:pPr>
        <w:spacing w:line="324" w:lineRule="auto"/>
        <w:ind w:right="-8"/>
        <w:jc w:val="center"/>
        <w:rPr>
          <w:rFonts w:asciiTheme="majorHAnsi" w:hAnsiTheme="majorHAnsi" w:cstheme="majorHAnsi"/>
          <w:b/>
          <w:bCs/>
          <w:sz w:val="26"/>
          <w:szCs w:val="26"/>
          <w:lang w:val="vi-VN"/>
        </w:rPr>
      </w:pPr>
      <w:r w:rsidRPr="006421EA">
        <w:rPr>
          <w:b/>
          <w:sz w:val="26"/>
          <w:szCs w:val="26"/>
          <w:lang w:val="vi-VN"/>
        </w:rPr>
        <w:t xml:space="preserve">BẢN </w:t>
      </w:r>
      <w:r w:rsidR="00AB1E2D" w:rsidRPr="006421EA">
        <w:rPr>
          <w:b/>
          <w:sz w:val="26"/>
          <w:szCs w:val="26"/>
          <w:lang w:val="vi-VN"/>
        </w:rPr>
        <w:t>TỔNG HỢP Ý KIẾN,</w:t>
      </w:r>
      <w:r w:rsidR="00AC7B50" w:rsidRPr="006421EA">
        <w:rPr>
          <w:b/>
          <w:sz w:val="26"/>
          <w:szCs w:val="26"/>
          <w:lang w:val="vi-VN"/>
        </w:rPr>
        <w:t xml:space="preserve"> TIẾP THU, GIẢI TRÌNH </w:t>
      </w:r>
      <w:r w:rsidR="004F5BF8" w:rsidRPr="006421EA">
        <w:rPr>
          <w:b/>
          <w:sz w:val="26"/>
          <w:szCs w:val="26"/>
          <w:lang w:val="vi-VN"/>
        </w:rPr>
        <w:t xml:space="preserve">Ý KIẾN </w:t>
      </w:r>
      <w:r w:rsidR="00AC7B50" w:rsidRPr="006421EA">
        <w:rPr>
          <w:b/>
          <w:sz w:val="26"/>
          <w:szCs w:val="26"/>
          <w:lang w:val="vi-VN"/>
        </w:rPr>
        <w:t>GÓP Ý</w:t>
      </w:r>
      <w:r w:rsidR="0099124A">
        <w:rPr>
          <w:b/>
          <w:sz w:val="26"/>
          <w:szCs w:val="26"/>
          <w:lang w:val="vi-VN"/>
        </w:rPr>
        <w:t xml:space="preserve"> </w:t>
      </w:r>
      <w:r w:rsidR="0099124A">
        <w:rPr>
          <w:b/>
          <w:sz w:val="26"/>
          <w:szCs w:val="26"/>
        </w:rPr>
        <w:t xml:space="preserve">VỤ PHÁP CHẾ, VĂN PHÒNG BỘ </w:t>
      </w:r>
      <w:bookmarkStart w:id="0" w:name="_GoBack"/>
      <w:bookmarkEnd w:id="0"/>
      <w:r w:rsidR="00AC7B50" w:rsidRPr="006421EA">
        <w:rPr>
          <w:b/>
          <w:sz w:val="26"/>
          <w:szCs w:val="26"/>
          <w:lang w:val="vi-VN"/>
        </w:rPr>
        <w:t xml:space="preserve">ĐỐI VỚI DỰ THẢO </w:t>
      </w:r>
      <w:r w:rsidR="004A0713" w:rsidRPr="006421EA">
        <w:rPr>
          <w:rFonts w:asciiTheme="majorHAnsi" w:hAnsiTheme="majorHAnsi" w:cstheme="majorHAnsi"/>
          <w:b/>
          <w:sz w:val="26"/>
          <w:szCs w:val="26"/>
          <w:lang w:val="vi-VN"/>
        </w:rPr>
        <w:t xml:space="preserve">DỰ THẢO NGHỊ ĐỊNH QUY ĐỊNH </w:t>
      </w:r>
      <w:r w:rsidR="004A0713" w:rsidRPr="006421EA">
        <w:rPr>
          <w:rFonts w:asciiTheme="majorHAnsi" w:hAnsiTheme="majorHAnsi" w:cstheme="majorHAnsi"/>
          <w:b/>
          <w:bCs/>
          <w:sz w:val="26"/>
          <w:szCs w:val="26"/>
          <w:lang w:val="vi-VN"/>
        </w:rPr>
        <w:t>VỀ TÀU BAY VÀ KHAI THÁC TÀU BAY</w:t>
      </w:r>
    </w:p>
    <w:p w14:paraId="78B385EA" w14:textId="628F10A8" w:rsidR="00667875" w:rsidRPr="006421EA" w:rsidRDefault="00667875" w:rsidP="006421EA">
      <w:pPr>
        <w:spacing w:line="324" w:lineRule="auto"/>
        <w:ind w:right="-8"/>
        <w:jc w:val="center"/>
        <w:rPr>
          <w:rFonts w:asciiTheme="majorHAnsi" w:hAnsiTheme="majorHAnsi" w:cstheme="majorHAnsi"/>
          <w:i/>
          <w:iCs/>
          <w:sz w:val="26"/>
          <w:szCs w:val="26"/>
          <w:lang w:val="vi-VN"/>
        </w:rPr>
      </w:pPr>
      <w:r w:rsidRPr="006421EA">
        <w:rPr>
          <w:rFonts w:asciiTheme="majorHAnsi" w:hAnsiTheme="majorHAnsi" w:cstheme="majorHAnsi"/>
          <w:i/>
          <w:iCs/>
          <w:sz w:val="26"/>
          <w:szCs w:val="26"/>
          <w:lang w:val="vi-VN"/>
        </w:rPr>
        <w:t xml:space="preserve">(Lần </w:t>
      </w:r>
      <w:r w:rsidR="00F55491" w:rsidRPr="006421EA">
        <w:rPr>
          <w:rFonts w:asciiTheme="majorHAnsi" w:hAnsiTheme="majorHAnsi" w:cstheme="majorHAnsi"/>
          <w:i/>
          <w:iCs/>
          <w:sz w:val="26"/>
          <w:szCs w:val="26"/>
          <w:lang w:val="vi-VN"/>
        </w:rPr>
        <w:t>3</w:t>
      </w:r>
      <w:r w:rsidRPr="006421EA">
        <w:rPr>
          <w:rFonts w:asciiTheme="majorHAnsi" w:hAnsiTheme="majorHAnsi" w:cstheme="majorHAnsi"/>
          <w:i/>
          <w:iCs/>
          <w:sz w:val="26"/>
          <w:szCs w:val="26"/>
          <w:lang w:val="vi-VN"/>
        </w:rPr>
        <w:t xml:space="preserve">, </w:t>
      </w:r>
      <w:r w:rsidR="00F55491" w:rsidRPr="006421EA">
        <w:rPr>
          <w:rFonts w:asciiTheme="majorHAnsi" w:hAnsiTheme="majorHAnsi" w:cstheme="majorHAnsi"/>
          <w:i/>
          <w:iCs/>
          <w:sz w:val="26"/>
          <w:szCs w:val="26"/>
          <w:lang w:val="vi-VN"/>
        </w:rPr>
        <w:t>giải trình tiếp thu ý kiến thẩm định của Vụ Pháp chế, Văn phòng Bộ Xây dựng</w:t>
      </w:r>
      <w:r w:rsidRPr="006421EA">
        <w:rPr>
          <w:rFonts w:asciiTheme="majorHAnsi" w:hAnsiTheme="majorHAnsi" w:cstheme="majorHAnsi"/>
          <w:i/>
          <w:iCs/>
          <w:sz w:val="24"/>
          <w:szCs w:val="24"/>
          <w:lang w:val="vi-VN"/>
        </w:rPr>
        <w:t>)</w:t>
      </w:r>
    </w:p>
    <w:p w14:paraId="5D01B94B" w14:textId="2FF35B72" w:rsidR="00AC6AAA" w:rsidRPr="006421EA" w:rsidRDefault="00AC6AAA" w:rsidP="006421EA">
      <w:pPr>
        <w:ind w:right="-8"/>
        <w:rPr>
          <w:b/>
          <w:sz w:val="26"/>
          <w:szCs w:val="26"/>
          <w:lang w:val="vi-VN"/>
        </w:rPr>
      </w:pPr>
    </w:p>
    <w:p w14:paraId="0C09A7E4" w14:textId="3F6E72D4" w:rsidR="00AB1E2D" w:rsidRPr="006421EA" w:rsidRDefault="00AB1E2D" w:rsidP="006421EA">
      <w:pPr>
        <w:widowControl/>
        <w:adjustRightInd w:val="0"/>
        <w:spacing w:before="120" w:after="120"/>
        <w:ind w:firstLine="851"/>
        <w:jc w:val="both"/>
        <w:rPr>
          <w:rFonts w:eastAsiaTheme="minorHAnsi"/>
          <w:sz w:val="26"/>
          <w:szCs w:val="26"/>
          <w:lang w:val="vi-VN"/>
          <w14:ligatures w14:val="standardContextual"/>
        </w:rPr>
      </w:pPr>
      <w:r w:rsidRPr="006421EA">
        <w:rPr>
          <w:rFonts w:eastAsiaTheme="minorHAnsi"/>
          <w:sz w:val="26"/>
          <w:szCs w:val="26"/>
          <w:lang w:val="vi-VN"/>
          <w14:ligatures w14:val="standardContextual"/>
        </w:rPr>
        <w:t>Căn cứ Luật ban hành văn bản quy phạm pháp luật, Bộ Xây dựng đã chủ trì soạn thảo</w:t>
      </w:r>
      <w:r w:rsidR="00F55491" w:rsidRPr="006421EA">
        <w:rPr>
          <w:rFonts w:eastAsiaTheme="minorHAnsi"/>
          <w:sz w:val="26"/>
          <w:szCs w:val="26"/>
          <w:lang w:val="vi-VN"/>
          <w14:ligatures w14:val="standardContextual"/>
        </w:rPr>
        <w:t xml:space="preserve"> và</w:t>
      </w:r>
      <w:r w:rsidRPr="006421EA">
        <w:rPr>
          <w:rFonts w:eastAsiaTheme="minorHAnsi"/>
          <w:sz w:val="26"/>
          <w:szCs w:val="26"/>
          <w:lang w:val="vi-VN"/>
          <w14:ligatures w14:val="standardContextual"/>
        </w:rPr>
        <w:t xml:space="preserve"> tổ chức lấy ý kiến</w:t>
      </w:r>
      <w:r w:rsidR="00F55491" w:rsidRPr="006421EA">
        <w:rPr>
          <w:rFonts w:eastAsiaTheme="minorHAnsi"/>
          <w:sz w:val="26"/>
          <w:szCs w:val="26"/>
          <w:lang w:val="vi-VN"/>
          <w14:ligatures w14:val="standardContextual"/>
        </w:rPr>
        <w:t xml:space="preserve"> thẩm định của Vụ Pháp chế, Văn phòng Bộ Xây dựng về</w:t>
      </w:r>
      <w:r w:rsidRPr="006421EA">
        <w:rPr>
          <w:rFonts w:eastAsiaTheme="minorHAnsi"/>
          <w:sz w:val="26"/>
          <w:szCs w:val="26"/>
          <w:lang w:val="vi-VN"/>
          <w14:ligatures w14:val="standardContextual"/>
        </w:rPr>
        <w:t xml:space="preserve"> dự thảo</w:t>
      </w:r>
      <w:r w:rsidR="00CF7BDB" w:rsidRPr="006421EA">
        <w:rPr>
          <w:rFonts w:eastAsiaTheme="minorHAnsi"/>
          <w:sz w:val="26"/>
          <w:szCs w:val="26"/>
          <w:lang w:val="vi-VN"/>
          <w14:ligatures w14:val="standardContextual"/>
        </w:rPr>
        <w:t xml:space="preserve"> </w:t>
      </w:r>
      <w:r w:rsidR="00A73A97" w:rsidRPr="006421EA">
        <w:rPr>
          <w:rFonts w:eastAsiaTheme="minorHAnsi"/>
          <w:sz w:val="26"/>
          <w:szCs w:val="26"/>
          <w:lang w:val="vi-VN"/>
          <w14:ligatures w14:val="standardContextual"/>
        </w:rPr>
        <w:t>Nghị định quy định về tàu bay và khai thác tàu bay;</w:t>
      </w:r>
    </w:p>
    <w:p w14:paraId="2607F6D6" w14:textId="67E409B9" w:rsidR="00AB1E2D" w:rsidRPr="006421EA" w:rsidRDefault="00AB1E2D" w:rsidP="006421EA">
      <w:pPr>
        <w:spacing w:before="120"/>
        <w:ind w:right="-8"/>
        <w:rPr>
          <w:sz w:val="26"/>
          <w:szCs w:val="26"/>
          <w:lang w:val="vi-VN"/>
        </w:rPr>
      </w:pPr>
      <w:r w:rsidRPr="006421EA">
        <w:rPr>
          <w:sz w:val="26"/>
          <w:szCs w:val="26"/>
          <w:lang w:val="vi-VN"/>
        </w:rPr>
        <w:tab/>
        <w:t>- Kết quả</w:t>
      </w:r>
      <w:r w:rsidR="008734C1" w:rsidRPr="006421EA">
        <w:rPr>
          <w:sz w:val="26"/>
          <w:szCs w:val="26"/>
          <w:lang w:val="vi-VN"/>
        </w:rPr>
        <w:t xml:space="preserve"> tiếp thu, giải trình ý kiến góp ý</w:t>
      </w:r>
      <w:r w:rsidRPr="006421EA">
        <w:rPr>
          <w:sz w:val="26"/>
          <w:szCs w:val="26"/>
          <w:lang w:val="vi-VN"/>
        </w:rPr>
        <w:t xml:space="preserve"> cụ thể như sau:</w:t>
      </w:r>
    </w:p>
    <w:p w14:paraId="62679BF4" w14:textId="77777777" w:rsidR="00E20873" w:rsidRPr="006421EA" w:rsidRDefault="00E20873" w:rsidP="006421EA">
      <w:pPr>
        <w:spacing w:before="120"/>
        <w:ind w:right="-8"/>
        <w:rPr>
          <w:sz w:val="26"/>
          <w:szCs w:val="26"/>
          <w:lang w:val="vi-VN"/>
        </w:rPr>
      </w:pPr>
    </w:p>
    <w:p w14:paraId="4A458961" w14:textId="5BE2823E" w:rsidR="00DC362B" w:rsidRPr="006421EA" w:rsidRDefault="00DC362B" w:rsidP="006421EA">
      <w:pPr>
        <w:rPr>
          <w:b/>
          <w:bCs/>
          <w:sz w:val="26"/>
          <w:szCs w:val="26"/>
          <w:lang w:val="vi-VN"/>
        </w:rPr>
      </w:pPr>
    </w:p>
    <w:tbl>
      <w:tblPr>
        <w:tblStyle w:val="TableGrid"/>
        <w:tblW w:w="13771" w:type="dxa"/>
        <w:tblLook w:val="04A0" w:firstRow="1" w:lastRow="0" w:firstColumn="1" w:lastColumn="0" w:noHBand="0" w:noVBand="1"/>
      </w:tblPr>
      <w:tblGrid>
        <w:gridCol w:w="1898"/>
        <w:gridCol w:w="2972"/>
        <w:gridCol w:w="5037"/>
        <w:gridCol w:w="3864"/>
      </w:tblGrid>
      <w:tr w:rsidR="006421EA" w:rsidRPr="006421EA" w14:paraId="7C4DF0D8" w14:textId="1879369D" w:rsidTr="00056436">
        <w:tc>
          <w:tcPr>
            <w:tcW w:w="0" w:type="auto"/>
            <w:vAlign w:val="center"/>
          </w:tcPr>
          <w:p w14:paraId="78E643C4" w14:textId="59868904" w:rsidR="00056436" w:rsidRPr="006421EA" w:rsidRDefault="00056436" w:rsidP="006421EA">
            <w:pPr>
              <w:spacing w:before="120" w:after="120"/>
              <w:rPr>
                <w:rFonts w:asciiTheme="majorHAnsi" w:hAnsiTheme="majorHAnsi" w:cstheme="majorHAnsi"/>
                <w:b/>
                <w:bCs/>
                <w:sz w:val="24"/>
                <w:szCs w:val="24"/>
              </w:rPr>
            </w:pPr>
            <w:r w:rsidRPr="006421EA">
              <w:rPr>
                <w:rFonts w:asciiTheme="majorHAnsi" w:hAnsiTheme="majorHAnsi" w:cstheme="majorHAnsi"/>
                <w:b/>
                <w:sz w:val="24"/>
                <w:szCs w:val="24"/>
                <w:lang w:val="nl-NL"/>
              </w:rPr>
              <w:t>ĐIỀU, KHOẢN</w:t>
            </w:r>
          </w:p>
        </w:tc>
        <w:tc>
          <w:tcPr>
            <w:tcW w:w="0" w:type="auto"/>
            <w:vAlign w:val="center"/>
          </w:tcPr>
          <w:p w14:paraId="34C2A699" w14:textId="19433D51" w:rsidR="00056436" w:rsidRPr="006421EA" w:rsidRDefault="00056436" w:rsidP="006421EA">
            <w:pPr>
              <w:spacing w:before="120" w:after="120"/>
              <w:rPr>
                <w:rFonts w:asciiTheme="majorHAnsi" w:hAnsiTheme="majorHAnsi" w:cstheme="majorHAnsi"/>
                <w:b/>
                <w:bCs/>
                <w:sz w:val="24"/>
                <w:szCs w:val="24"/>
              </w:rPr>
            </w:pPr>
            <w:r w:rsidRPr="006421EA">
              <w:rPr>
                <w:rFonts w:asciiTheme="majorHAnsi" w:hAnsiTheme="majorHAnsi" w:cstheme="majorHAnsi"/>
                <w:b/>
                <w:sz w:val="24"/>
                <w:szCs w:val="24"/>
              </w:rPr>
              <w:t>CHỦ THỂ GÓP Ý/</w:t>
            </w:r>
            <w:r w:rsidRPr="006421EA">
              <w:rPr>
                <w:rFonts w:asciiTheme="majorHAnsi" w:hAnsiTheme="majorHAnsi" w:cstheme="majorHAnsi"/>
                <w:b/>
                <w:sz w:val="24"/>
                <w:szCs w:val="24"/>
                <w:lang w:val="vi-VN"/>
              </w:rPr>
              <w:t xml:space="preserve"> </w:t>
            </w:r>
            <w:r w:rsidRPr="006421EA">
              <w:rPr>
                <w:rFonts w:asciiTheme="majorHAnsi" w:hAnsiTheme="majorHAnsi" w:cstheme="majorHAnsi"/>
                <w:b/>
                <w:sz w:val="24"/>
                <w:szCs w:val="24"/>
              </w:rPr>
              <w:t>THAM VẤN/</w:t>
            </w:r>
            <w:r w:rsidRPr="006421EA">
              <w:rPr>
                <w:rFonts w:asciiTheme="majorHAnsi" w:hAnsiTheme="majorHAnsi" w:cstheme="majorHAnsi"/>
                <w:b/>
                <w:sz w:val="24"/>
                <w:szCs w:val="24"/>
                <w:lang w:val="vi-VN"/>
              </w:rPr>
              <w:t xml:space="preserve"> </w:t>
            </w:r>
            <w:r w:rsidRPr="006421EA">
              <w:rPr>
                <w:rFonts w:asciiTheme="majorHAnsi" w:hAnsiTheme="majorHAnsi" w:cstheme="majorHAnsi"/>
                <w:b/>
                <w:sz w:val="24"/>
                <w:szCs w:val="24"/>
              </w:rPr>
              <w:t>PHẢN BIỆN</w:t>
            </w:r>
          </w:p>
        </w:tc>
        <w:tc>
          <w:tcPr>
            <w:tcW w:w="5037" w:type="dxa"/>
            <w:vAlign w:val="center"/>
          </w:tcPr>
          <w:p w14:paraId="2A7E00BE" w14:textId="4393FE41" w:rsidR="00056436" w:rsidRPr="006421EA" w:rsidRDefault="00056436" w:rsidP="006421EA">
            <w:pPr>
              <w:spacing w:before="120" w:after="120"/>
              <w:jc w:val="both"/>
              <w:rPr>
                <w:rFonts w:asciiTheme="majorHAnsi" w:hAnsiTheme="majorHAnsi" w:cstheme="majorHAnsi"/>
                <w:b/>
                <w:bCs/>
                <w:sz w:val="24"/>
                <w:szCs w:val="24"/>
              </w:rPr>
            </w:pPr>
            <w:r w:rsidRPr="006421EA">
              <w:rPr>
                <w:rFonts w:asciiTheme="majorHAnsi" w:hAnsiTheme="majorHAnsi" w:cstheme="majorHAnsi"/>
                <w:b/>
                <w:sz w:val="24"/>
                <w:szCs w:val="24"/>
                <w:lang w:val="vi-VN"/>
              </w:rPr>
              <w:t>NỘI DUNG GÓP Ý/THAM VẤN/PHẢN BIỆN</w:t>
            </w:r>
          </w:p>
        </w:tc>
        <w:tc>
          <w:tcPr>
            <w:tcW w:w="3864" w:type="dxa"/>
            <w:vAlign w:val="center"/>
          </w:tcPr>
          <w:p w14:paraId="3EEF459A" w14:textId="1F8DD570" w:rsidR="00056436" w:rsidRPr="006421EA" w:rsidRDefault="00056436" w:rsidP="006421EA">
            <w:pPr>
              <w:spacing w:before="120" w:after="120"/>
              <w:rPr>
                <w:rFonts w:asciiTheme="majorHAnsi" w:hAnsiTheme="majorHAnsi" w:cstheme="majorHAnsi"/>
                <w:b/>
                <w:bCs/>
                <w:sz w:val="24"/>
                <w:szCs w:val="24"/>
              </w:rPr>
            </w:pPr>
            <w:r w:rsidRPr="006421EA">
              <w:rPr>
                <w:rFonts w:asciiTheme="majorHAnsi" w:hAnsiTheme="majorHAnsi" w:cstheme="majorHAnsi"/>
                <w:b/>
                <w:sz w:val="24"/>
                <w:szCs w:val="24"/>
                <w:lang w:val="vi-VN"/>
              </w:rPr>
              <w:t>NỘI DUNG TIẾP THU, GIẢI TRÌNH</w:t>
            </w:r>
          </w:p>
        </w:tc>
      </w:tr>
      <w:tr w:rsidR="006421EA" w:rsidRPr="006421EA" w14:paraId="683EF25C" w14:textId="14690E75" w:rsidTr="00D71867">
        <w:tc>
          <w:tcPr>
            <w:tcW w:w="0" w:type="auto"/>
          </w:tcPr>
          <w:p w14:paraId="398AA2CE" w14:textId="0FEDE09D" w:rsidR="00056436" w:rsidRPr="006421EA" w:rsidRDefault="00F55491"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Hồ sơ thẩm định</w:t>
            </w:r>
          </w:p>
        </w:tc>
        <w:tc>
          <w:tcPr>
            <w:tcW w:w="0" w:type="auto"/>
            <w:hideMark/>
          </w:tcPr>
          <w:p w14:paraId="1694875D" w14:textId="323DDE54" w:rsidR="00056436" w:rsidRPr="006421EA" w:rsidRDefault="00F55491" w:rsidP="006421EA">
            <w:pPr>
              <w:spacing w:before="120" w:after="120"/>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Vụ Pháp chế, Bộ Xây dựng</w:t>
            </w:r>
          </w:p>
        </w:tc>
        <w:tc>
          <w:tcPr>
            <w:tcW w:w="5037" w:type="dxa"/>
            <w:hideMark/>
          </w:tcPr>
          <w:p w14:paraId="259EE8C1" w14:textId="77777777" w:rsidR="00056436" w:rsidRPr="006421EA" w:rsidRDefault="00F55491" w:rsidP="006421EA">
            <w:pPr>
              <w:spacing w:before="120" w:after="120"/>
              <w:jc w:val="both"/>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I. Về hồ sơ thẩm định</w:t>
            </w:r>
          </w:p>
          <w:p w14:paraId="5B19BC0C" w14:textId="3F263C87"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1. Để đảm bảo tính thống nhất và đúng quy định, đề nghị Quý Vụ rà soát toàn bộ hồ sơ gửi Bộ Tư pháp thẩm định theo quy định tại khoản 1 Điều 28 Nghị định số 78/2025/NĐ-CP (đã được sửa đổi, bổ sung bởi Nghị định số 187/2025/NĐ-CP), trong đó cần lưu ý: các báo cáo được ký và đóng dấu đầy đủ, dự thảo Nghị định được đóng dấu giáp lai, các tài liệu khác kèm theo phải được đóng dấu treo của Bộ. Sau khi hoàn tất kiểm tra, hồ sơ cần được gửi đồng bộ qua bản điện tử và 01 bản giấy để phục vụ công tác thẩm định.</w:t>
            </w:r>
          </w:p>
        </w:tc>
        <w:tc>
          <w:tcPr>
            <w:tcW w:w="3864" w:type="dxa"/>
            <w:hideMark/>
          </w:tcPr>
          <w:p w14:paraId="054FFA38" w14:textId="0A3B1A1D" w:rsidR="00056436"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Cơ quan soạn thảo đã hoàn thiện bộ hồ sơ trình thẩm định đúng quy định hiện hành</w:t>
            </w:r>
          </w:p>
        </w:tc>
      </w:tr>
      <w:tr w:rsidR="006421EA" w:rsidRPr="006421EA" w14:paraId="331FDFC1" w14:textId="7A4615E7" w:rsidTr="00056436">
        <w:tc>
          <w:tcPr>
            <w:tcW w:w="0" w:type="auto"/>
          </w:tcPr>
          <w:p w14:paraId="1C3ABA8E" w14:textId="7797D3F3" w:rsidR="00056436" w:rsidRPr="006421EA" w:rsidRDefault="00056436" w:rsidP="006421EA">
            <w:pPr>
              <w:spacing w:before="120" w:after="120"/>
              <w:rPr>
                <w:rFonts w:asciiTheme="majorHAnsi" w:hAnsiTheme="majorHAnsi" w:cstheme="majorHAnsi"/>
                <w:sz w:val="24"/>
                <w:szCs w:val="24"/>
                <w:lang w:val="vi-VN"/>
              </w:rPr>
            </w:pPr>
          </w:p>
        </w:tc>
        <w:tc>
          <w:tcPr>
            <w:tcW w:w="0" w:type="auto"/>
          </w:tcPr>
          <w:p w14:paraId="14138E1D" w14:textId="5BE5C253" w:rsidR="00056436" w:rsidRPr="006421EA" w:rsidRDefault="00056436" w:rsidP="006421EA">
            <w:pPr>
              <w:spacing w:before="120" w:after="120"/>
              <w:rPr>
                <w:rFonts w:asciiTheme="majorHAnsi" w:hAnsiTheme="majorHAnsi" w:cstheme="majorHAnsi"/>
                <w:b/>
                <w:bCs/>
                <w:sz w:val="24"/>
                <w:szCs w:val="24"/>
                <w:lang w:val="vi-VN"/>
              </w:rPr>
            </w:pPr>
          </w:p>
        </w:tc>
        <w:tc>
          <w:tcPr>
            <w:tcW w:w="5037" w:type="dxa"/>
          </w:tcPr>
          <w:p w14:paraId="4D3FAEAC" w14:textId="72BA205C" w:rsidR="00056436"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2. Đề nghị Quý Vụ rà soát và thực hiện đúng quy định về kỹ thuật trình bày đối với toàn bộ tài liệu trong hồ sơ thẩm định. Hình thức, bố cục và thể thức văn bản phải đáp ứng đầy đủ các quy định tại hệ thống mẫu ban hành kèm theo Phụ lục Nghị định số 78/2025/NĐ-CP (đã được sửa đổi, bổ sung bởi Nghị định số 187/2025/NĐ-CP).</w:t>
            </w:r>
          </w:p>
        </w:tc>
        <w:tc>
          <w:tcPr>
            <w:tcW w:w="3864" w:type="dxa"/>
          </w:tcPr>
          <w:p w14:paraId="1F1CE8E8" w14:textId="10E0A1AA" w:rsidR="00056436"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Cơ quan soạn thảo đã hoàn thiện bộ hồ sơ trình thẩm định đúng quy định hiện hành</w:t>
            </w:r>
          </w:p>
        </w:tc>
      </w:tr>
      <w:tr w:rsidR="006421EA" w:rsidRPr="006421EA" w14:paraId="216252D2" w14:textId="77777777" w:rsidTr="00056436">
        <w:tc>
          <w:tcPr>
            <w:tcW w:w="0" w:type="auto"/>
          </w:tcPr>
          <w:p w14:paraId="768B25B0"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5331C47A"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7A7502CA" w14:textId="77777777" w:rsidR="00F55491" w:rsidRPr="006421EA" w:rsidRDefault="00F55491" w:rsidP="006421EA">
            <w:pPr>
              <w:spacing w:before="120" w:after="120"/>
              <w:jc w:val="both"/>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II. Về tính thống nhất, đồng bộ của dự thảo Nghị định</w:t>
            </w:r>
          </w:p>
          <w:p w14:paraId="374B59C2" w14:textId="68676AFA"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1. Đề nghị rà soát lại toàn bộ nội dung dự thảo Nghị định để không quy định lại các nội dung đã được Luật HKDDVN 2025 quy định.</w:t>
            </w:r>
          </w:p>
        </w:tc>
        <w:tc>
          <w:tcPr>
            <w:tcW w:w="3864" w:type="dxa"/>
          </w:tcPr>
          <w:p w14:paraId="60BF2E5B" w14:textId="77777777" w:rsidR="00F55491" w:rsidRPr="006421EA" w:rsidRDefault="00F55491" w:rsidP="006421EA">
            <w:pPr>
              <w:spacing w:before="120" w:after="120"/>
              <w:rPr>
                <w:rFonts w:asciiTheme="majorHAnsi" w:hAnsiTheme="majorHAnsi" w:cstheme="majorHAnsi"/>
                <w:sz w:val="24"/>
                <w:szCs w:val="24"/>
                <w:lang w:val="vi-VN"/>
              </w:rPr>
            </w:pPr>
          </w:p>
        </w:tc>
      </w:tr>
      <w:tr w:rsidR="006421EA" w:rsidRPr="006421EA" w14:paraId="2E285C9F" w14:textId="77777777" w:rsidTr="00056436">
        <w:tc>
          <w:tcPr>
            <w:tcW w:w="0" w:type="auto"/>
          </w:tcPr>
          <w:p w14:paraId="1EBA99FB" w14:textId="56D49176"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3, khoản 23, 26</w:t>
            </w:r>
          </w:p>
        </w:tc>
        <w:tc>
          <w:tcPr>
            <w:tcW w:w="0" w:type="auto"/>
          </w:tcPr>
          <w:p w14:paraId="77B1EA60"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7F796DEA" w14:textId="25E7A0F2" w:rsidR="00F55491" w:rsidRPr="006421EA" w:rsidRDefault="00F55491" w:rsidP="006421EA">
            <w:pPr>
              <w:spacing w:before="120" w:after="120"/>
              <w:jc w:val="both"/>
              <w:rPr>
                <w:rFonts w:asciiTheme="majorHAnsi" w:hAnsiTheme="majorHAnsi" w:cstheme="majorHAnsi"/>
                <w:b/>
                <w:bCs/>
                <w:sz w:val="24"/>
                <w:szCs w:val="24"/>
              </w:rPr>
            </w:pPr>
            <w:r w:rsidRPr="006421EA">
              <w:rPr>
                <w:rFonts w:asciiTheme="majorHAnsi" w:hAnsiTheme="majorHAnsi" w:cstheme="majorHAnsi"/>
                <w:sz w:val="24"/>
                <w:szCs w:val="24"/>
                <w:lang w:val="vi-VN"/>
              </w:rPr>
              <w:t>2. Điều 3 khoản 23 và khoản 26: đ</w:t>
            </w:r>
            <w:r w:rsidRPr="006421EA">
              <w:rPr>
                <w:rFonts w:asciiTheme="majorHAnsi" w:hAnsiTheme="majorHAnsi" w:cstheme="majorHAnsi"/>
                <w:sz w:val="24"/>
                <w:szCs w:val="24"/>
              </w:rPr>
              <w:t xml:space="preserve">ề nghị làm rõ thuật ngữ </w:t>
            </w:r>
            <w:r w:rsidRPr="006421EA">
              <w:rPr>
                <w:rFonts w:asciiTheme="majorHAnsi" w:hAnsiTheme="majorHAnsi" w:cstheme="majorHAnsi"/>
                <w:sz w:val="24"/>
                <w:szCs w:val="24"/>
                <w:lang w:val="vi-VN"/>
              </w:rPr>
              <w:t>“</w:t>
            </w:r>
            <w:r w:rsidRPr="006421EA">
              <w:rPr>
                <w:rFonts w:asciiTheme="majorHAnsi" w:hAnsiTheme="majorHAnsi" w:cstheme="majorHAnsi"/>
                <w:sz w:val="24"/>
                <w:szCs w:val="24"/>
              </w:rPr>
              <w:t>cách thức thông thường</w:t>
            </w:r>
            <w:r w:rsidRPr="006421EA">
              <w:rPr>
                <w:rFonts w:asciiTheme="majorHAnsi" w:hAnsiTheme="majorHAnsi" w:cstheme="majorHAnsi"/>
                <w:sz w:val="24"/>
                <w:szCs w:val="24"/>
                <w:lang w:val="vi-VN"/>
              </w:rPr>
              <w:t>”</w:t>
            </w:r>
            <w:r w:rsidRPr="006421EA">
              <w:rPr>
                <w:rFonts w:asciiTheme="majorHAnsi" w:hAnsiTheme="majorHAnsi" w:cstheme="majorHAnsi"/>
                <w:sz w:val="24"/>
                <w:szCs w:val="24"/>
              </w:rPr>
              <w:t xml:space="preserve"> </w:t>
            </w:r>
            <w:r w:rsidRPr="006421EA">
              <w:rPr>
                <w:rFonts w:asciiTheme="majorHAnsi" w:hAnsiTheme="majorHAnsi" w:cstheme="majorHAnsi"/>
                <w:sz w:val="24"/>
                <w:szCs w:val="24"/>
                <w:lang w:val="vi-VN"/>
              </w:rPr>
              <w:t>để</w:t>
            </w:r>
            <w:r w:rsidRPr="006421EA">
              <w:rPr>
                <w:rFonts w:asciiTheme="majorHAnsi" w:hAnsiTheme="majorHAnsi" w:cstheme="majorHAnsi"/>
                <w:sz w:val="24"/>
                <w:szCs w:val="24"/>
              </w:rPr>
              <w:t xml:space="preserve"> đảm bảo tính định lượng trong áp dụng thực tế. Đặc biệt, cần quy định rạch ròi giữa khái niệm </w:t>
            </w:r>
            <w:r w:rsidRPr="006421EA">
              <w:rPr>
                <w:rFonts w:asciiTheme="majorHAnsi" w:hAnsiTheme="majorHAnsi" w:cstheme="majorHAnsi"/>
                <w:sz w:val="24"/>
                <w:szCs w:val="24"/>
                <w:lang w:val="vi-VN"/>
              </w:rPr>
              <w:t>“s</w:t>
            </w:r>
            <w:r w:rsidRPr="006421EA">
              <w:rPr>
                <w:rFonts w:asciiTheme="majorHAnsi" w:hAnsiTheme="majorHAnsi" w:cstheme="majorHAnsi"/>
                <w:sz w:val="24"/>
                <w:szCs w:val="24"/>
              </w:rPr>
              <w:t>ửa chữa lớn</w:t>
            </w:r>
            <w:r w:rsidRPr="006421EA">
              <w:rPr>
                <w:rFonts w:asciiTheme="majorHAnsi" w:hAnsiTheme="majorHAnsi" w:cstheme="majorHAnsi"/>
                <w:sz w:val="24"/>
                <w:szCs w:val="24"/>
                <w:lang w:val="vi-VN"/>
              </w:rPr>
              <w:t>”</w:t>
            </w:r>
            <w:r w:rsidRPr="006421EA">
              <w:rPr>
                <w:rFonts w:asciiTheme="majorHAnsi" w:hAnsiTheme="majorHAnsi" w:cstheme="majorHAnsi"/>
                <w:sz w:val="24"/>
                <w:szCs w:val="24"/>
              </w:rPr>
              <w:t xml:space="preserve"> (nhằm khôi phục trạng thái đủ điều kiện bay ban đầu) và </w:t>
            </w:r>
            <w:r w:rsidRPr="006421EA">
              <w:rPr>
                <w:rFonts w:asciiTheme="majorHAnsi" w:hAnsiTheme="majorHAnsi" w:cstheme="majorHAnsi"/>
                <w:sz w:val="24"/>
                <w:szCs w:val="24"/>
                <w:lang w:val="vi-VN"/>
              </w:rPr>
              <w:t>“t</w:t>
            </w:r>
            <w:r w:rsidRPr="006421EA">
              <w:rPr>
                <w:rFonts w:asciiTheme="majorHAnsi" w:hAnsiTheme="majorHAnsi" w:cstheme="majorHAnsi"/>
                <w:sz w:val="24"/>
                <w:szCs w:val="24"/>
              </w:rPr>
              <w:t>hay đổi thiết kế lớn</w:t>
            </w:r>
            <w:r w:rsidRPr="006421EA">
              <w:rPr>
                <w:rFonts w:asciiTheme="majorHAnsi" w:hAnsiTheme="majorHAnsi" w:cstheme="majorHAnsi"/>
                <w:sz w:val="24"/>
                <w:szCs w:val="24"/>
                <w:lang w:val="vi-VN"/>
              </w:rPr>
              <w:t>”</w:t>
            </w:r>
            <w:r w:rsidRPr="006421EA">
              <w:rPr>
                <w:rFonts w:asciiTheme="majorHAnsi" w:hAnsiTheme="majorHAnsi" w:cstheme="majorHAnsi"/>
                <w:sz w:val="24"/>
                <w:szCs w:val="24"/>
              </w:rPr>
              <w:t xml:space="preserve"> (việc làm thay đổi cấu hình hoặc đặc tính kỹ thuật so với thiết kế gốc)</w:t>
            </w:r>
            <w:r w:rsidRPr="006421EA">
              <w:rPr>
                <w:rFonts w:asciiTheme="majorHAnsi" w:hAnsiTheme="majorHAnsi" w:cstheme="majorHAnsi"/>
                <w:sz w:val="24"/>
                <w:szCs w:val="24"/>
                <w:lang w:val="vi-VN"/>
              </w:rPr>
              <w:t xml:space="preserve"> (T</w:t>
            </w:r>
            <w:r w:rsidRPr="006421EA">
              <w:rPr>
                <w:rFonts w:asciiTheme="majorHAnsi" w:hAnsiTheme="majorHAnsi" w:cstheme="majorHAnsi"/>
                <w:sz w:val="24"/>
                <w:szCs w:val="24"/>
              </w:rPr>
              <w:t xml:space="preserve">hay đổi thiết kế lớn là việc thay đổi thiết kế ban đầu của tàu bay, động cơ tàu bay, cánh quạt tàu bay mà: </w:t>
            </w:r>
            <w:r w:rsidRPr="006421EA">
              <w:rPr>
                <w:rFonts w:asciiTheme="majorHAnsi" w:hAnsiTheme="majorHAnsi" w:cstheme="majorHAnsi"/>
                <w:sz w:val="24"/>
                <w:szCs w:val="24"/>
                <w:lang w:val="vi-VN"/>
              </w:rPr>
              <w:t>(1</w:t>
            </w:r>
            <w:r w:rsidRPr="006421EA">
              <w:rPr>
                <w:rFonts w:asciiTheme="majorHAnsi" w:hAnsiTheme="majorHAnsi" w:cstheme="majorHAnsi"/>
                <w:sz w:val="24"/>
                <w:szCs w:val="24"/>
              </w:rPr>
              <w:t xml:space="preserve">) Ảnh hưởng đáng kể đến giới hạn trọng lượng, cân bằng, độ bền cấu trúc, hiệu suất, đặc tính vận hành, đặc tính bay hoặc các thuộc tính khác ảnh hưởng đến tính đủ điều kiện bay của tàu bay; </w:t>
            </w:r>
            <w:r w:rsidRPr="006421EA">
              <w:rPr>
                <w:rFonts w:asciiTheme="majorHAnsi" w:hAnsiTheme="majorHAnsi" w:cstheme="majorHAnsi"/>
                <w:sz w:val="24"/>
                <w:szCs w:val="24"/>
                <w:lang w:val="vi-VN"/>
              </w:rPr>
              <w:t>(2</w:t>
            </w:r>
            <w:r w:rsidRPr="006421EA">
              <w:rPr>
                <w:rFonts w:asciiTheme="majorHAnsi" w:hAnsiTheme="majorHAnsi" w:cstheme="majorHAnsi"/>
                <w:sz w:val="24"/>
                <w:szCs w:val="24"/>
              </w:rPr>
              <w:t>) Việc thay đổi này không được thực hiện theo các phương pháp kỹ thuật đã được chấp thuận trong tài liệu thiết kế gốc hoặc các quy trình bảo dưỡng thông thường</w:t>
            </w:r>
            <w:r w:rsidRPr="006421EA">
              <w:rPr>
                <w:rFonts w:asciiTheme="majorHAnsi" w:hAnsiTheme="majorHAnsi" w:cstheme="majorHAnsi"/>
                <w:sz w:val="24"/>
                <w:szCs w:val="24"/>
                <w:lang w:val="vi-VN"/>
              </w:rPr>
              <w:t>)</w:t>
            </w:r>
            <w:r w:rsidRPr="006421EA">
              <w:rPr>
                <w:rFonts w:asciiTheme="majorHAnsi" w:hAnsiTheme="majorHAnsi" w:cstheme="majorHAnsi"/>
                <w:sz w:val="24"/>
                <w:szCs w:val="24"/>
              </w:rPr>
              <w:t>.</w:t>
            </w:r>
          </w:p>
        </w:tc>
        <w:tc>
          <w:tcPr>
            <w:tcW w:w="3864" w:type="dxa"/>
          </w:tcPr>
          <w:p w14:paraId="026BC6FB" w14:textId="63E558B3" w:rsidR="003E3FB0" w:rsidRPr="006421EA" w:rsidRDefault="003E3FB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Tiếp thu ý kiến đối với khoản 23 và cập nhật dự thảo như sau:</w:t>
            </w:r>
          </w:p>
          <w:p w14:paraId="2E26AB62" w14:textId="77777777" w:rsidR="003E3FB0" w:rsidRPr="006421EA" w:rsidRDefault="003E3FB0" w:rsidP="006421EA">
            <w:pPr>
              <w:spacing w:before="120" w:after="120"/>
              <w:rPr>
                <w:sz w:val="24"/>
                <w:szCs w:val="24"/>
                <w:lang w:val="vi-VN"/>
              </w:rPr>
            </w:pPr>
            <w:r w:rsidRPr="006421EA">
              <w:rPr>
                <w:sz w:val="24"/>
                <w:szCs w:val="24"/>
                <w:lang w:val="vi-VN"/>
              </w:rPr>
              <w:t xml:space="preserve">23. </w:t>
            </w:r>
            <w:r w:rsidRPr="006421EA">
              <w:rPr>
                <w:i/>
                <w:iCs/>
                <w:sz w:val="24"/>
                <w:szCs w:val="24"/>
                <w:lang w:val="vi-VN"/>
              </w:rPr>
              <w:t>Sửa chữa lớn</w:t>
            </w:r>
            <w:r w:rsidRPr="006421EA">
              <w:rPr>
                <w:sz w:val="24"/>
                <w:szCs w:val="24"/>
                <w:lang w:val="vi-VN"/>
              </w:rPr>
              <w:t xml:space="preserve"> là bất kỳ sửa chữa mà có ảnh hưởng đáng kể đến sức bền của cấu trúc, tính năng, động cơ, khai thác, đặc tính bay hoặc các thuộc tính khác ảnh hưởng đến tính đủ điều kiện bay hoặc các tính năng về môi trường của tàu bay, động cơ tàu bay, cánh quạt tàu bay và trang thiết bị tàu bay.</w:t>
            </w:r>
          </w:p>
          <w:p w14:paraId="6F680BA9" w14:textId="77777777" w:rsidR="003E3FB0" w:rsidRPr="006421EA" w:rsidRDefault="003E3FB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 Đối với khoản 26 Điều 3, dự thảo đã đảm bảo rõ ràng, dễ hiểu và chuyển hoá quy định của ICAO tại tài liệu số 9760. </w:t>
            </w:r>
          </w:p>
          <w:p w14:paraId="707AB2C0" w14:textId="334643EC" w:rsidR="003E3FB0" w:rsidRPr="006421EA" w:rsidRDefault="003E3FB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 Dự thảo cũng đã giải thích rõ ràng về khái niệm "sửa chữa" (khoản 22 Điều 3) là việc phục hồi tàu bay, </w:t>
            </w:r>
            <w:r w:rsidRPr="006421EA">
              <w:rPr>
                <w:rFonts w:asciiTheme="majorHAnsi" w:hAnsiTheme="majorHAnsi" w:cstheme="majorHAnsi"/>
                <w:sz w:val="24"/>
                <w:szCs w:val="24"/>
                <w:lang w:val="vi-VN"/>
              </w:rPr>
              <w:lastRenderedPageBreak/>
              <w:t xml:space="preserve">động cơ, cánh quạt, trang thiết bị tàu bay sau khi bị hư hỏng hoặc hao mòn trong quá trình sử dụng và "thay đổi thiết kế" là sự thay đổi so với thiết kế loại (khoản 25 Điều 3). </w:t>
            </w:r>
          </w:p>
        </w:tc>
      </w:tr>
      <w:tr w:rsidR="006421EA" w:rsidRPr="006421EA" w14:paraId="3B454F2E" w14:textId="77777777" w:rsidTr="00056436">
        <w:tc>
          <w:tcPr>
            <w:tcW w:w="0" w:type="auto"/>
          </w:tcPr>
          <w:p w14:paraId="14CD6882" w14:textId="7C4B4E29"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Điều 4</w:t>
            </w:r>
          </w:p>
        </w:tc>
        <w:tc>
          <w:tcPr>
            <w:tcW w:w="0" w:type="auto"/>
          </w:tcPr>
          <w:p w14:paraId="272F034B"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519E1356" w14:textId="620D2DC9"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3. Điều 4: đề nghị nghiên cứu bỏ quy định này vì: c</w:t>
            </w:r>
            <w:r w:rsidRPr="006421EA">
              <w:rPr>
                <w:rFonts w:asciiTheme="majorHAnsi" w:hAnsiTheme="majorHAnsi" w:cstheme="majorHAnsi"/>
                <w:sz w:val="24"/>
                <w:szCs w:val="24"/>
              </w:rPr>
              <w:t xml:space="preserve">ác nguyên tắc chung về tuân thủ điều kiện an toàn, duy trì giấy phép và trách nhiệm báo cáo thay đổi tại Điều này đã được cụ thể hóa thành các điều kiện, tiêu chuẩn và quy trình bắt buộc tại từng điều khoản chuyên môn tương ứng trong các </w:t>
            </w:r>
            <w:r w:rsidRPr="006421EA">
              <w:rPr>
                <w:rFonts w:asciiTheme="majorHAnsi" w:hAnsiTheme="majorHAnsi" w:cstheme="majorHAnsi"/>
                <w:sz w:val="24"/>
                <w:szCs w:val="24"/>
                <w:lang w:val="vi-VN"/>
              </w:rPr>
              <w:t>c</w:t>
            </w:r>
            <w:r w:rsidRPr="006421EA">
              <w:rPr>
                <w:rFonts w:asciiTheme="majorHAnsi" w:hAnsiTheme="majorHAnsi" w:cstheme="majorHAnsi"/>
                <w:sz w:val="24"/>
                <w:szCs w:val="24"/>
              </w:rPr>
              <w:t>hương sau của Nghị định.</w:t>
            </w:r>
          </w:p>
        </w:tc>
        <w:tc>
          <w:tcPr>
            <w:tcW w:w="3864" w:type="dxa"/>
          </w:tcPr>
          <w:p w14:paraId="3858A1D6" w14:textId="74FC6170" w:rsidR="00F55491" w:rsidRPr="006421EA" w:rsidRDefault="00612121"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Đề nghị giữ nguyên nội dung và giải trình như sau: Điều 4 quy định các nội dung mang tính bao quát và xuyên suốt cho các tổ chức, cá nhân. Trong thực tiễn giám sát an toàn hàng không, không thể dự liệu chi tiết mọi tình huống kỹ thuật vào từng điều khoản chuyên môn. Các nguyên tắc chung này là cơ sở pháp lý để Nhà chức trách hàng không và các giám sát viên an toàn áp dụng nhằm đình chỉ ngay các hoạt động uy hiếp an toàn chưa được liệt kê chi tiết.</w:t>
            </w:r>
          </w:p>
        </w:tc>
      </w:tr>
      <w:tr w:rsidR="006421EA" w:rsidRPr="006421EA" w14:paraId="6012BAF9" w14:textId="77777777" w:rsidTr="00056436">
        <w:tc>
          <w:tcPr>
            <w:tcW w:w="0" w:type="auto"/>
          </w:tcPr>
          <w:p w14:paraId="56049E58" w14:textId="5B7F8B4E"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6, khoản 1</w:t>
            </w:r>
          </w:p>
        </w:tc>
        <w:tc>
          <w:tcPr>
            <w:tcW w:w="0" w:type="auto"/>
          </w:tcPr>
          <w:p w14:paraId="0A3B78CE"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26961A5B" w14:textId="32BE35FF"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4. Điều 6 khoản 1: đề nghị rà soát, định danh cụ thể các loại Giấy chứng nhận, Giấy xác nhận thuộc phạm vi điều chỉnh của Nghị định này để đảm bảo căn cứ pháp lý xác lập thẩm quyền cho Bộ trưởng Bộ Xây dựng quy định chi tiết (</w:t>
            </w:r>
            <w:r w:rsidRPr="006421EA">
              <w:rPr>
                <w:rFonts w:asciiTheme="majorHAnsi" w:hAnsiTheme="majorHAnsi" w:cstheme="majorHAnsi"/>
                <w:sz w:val="24"/>
                <w:szCs w:val="24"/>
              </w:rPr>
              <w:t>Tổ chức, cá nhân có thể tự nguyện từ bỏ Giấy chứng nhận, Giấy xác nhận hoặc phạm vi hoạt động được phê chuẩn, công nhận được cấp theo quy định tại Nghị định này. Việc từ bỏ phải được thông báo bằng văn bản cho Nhà chức trách hàng không Việt Nam trước thời điểm dự kiến dừng hoạt động ít nhất 30 ngày để đảm bảo duy trì các điều kiện an toàn và quyền lợi của bên liên quan</w:t>
            </w:r>
            <w:r w:rsidRPr="006421EA">
              <w:rPr>
                <w:rFonts w:asciiTheme="majorHAnsi" w:hAnsiTheme="majorHAnsi" w:cstheme="majorHAnsi"/>
                <w:sz w:val="24"/>
                <w:szCs w:val="24"/>
                <w:lang w:val="vi-VN"/>
              </w:rPr>
              <w:t>).</w:t>
            </w:r>
          </w:p>
        </w:tc>
        <w:tc>
          <w:tcPr>
            <w:tcW w:w="3864" w:type="dxa"/>
          </w:tcPr>
          <w:p w14:paraId="03D3C090" w14:textId="702653AF" w:rsidR="00F55491" w:rsidRPr="006421EA" w:rsidRDefault="00612121"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 Tiếp thu và cập nhật dự thảo khoản 1 Điều 6 như sau: </w:t>
            </w:r>
          </w:p>
          <w:p w14:paraId="0EDDD6D2" w14:textId="30E63813" w:rsidR="00612121" w:rsidRPr="006421EA" w:rsidRDefault="00612121" w:rsidP="006421EA">
            <w:pPr>
              <w:spacing w:before="120" w:after="120"/>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Điều 6. Từ bỏ, đình chỉ và thu hồi</w:t>
            </w:r>
          </w:p>
          <w:p w14:paraId="34EDC104" w14:textId="77777777" w:rsidR="00A15B67" w:rsidRPr="006421EA" w:rsidRDefault="00A15B67" w:rsidP="006421EA">
            <w:pPr>
              <w:pStyle w:val="NormalWeb"/>
              <w:spacing w:before="120" w:after="120"/>
              <w:jc w:val="both"/>
              <w:rPr>
                <w:spacing w:val="-4"/>
                <w:szCs w:val="27"/>
                <w:lang w:val="vi-VN"/>
              </w:rPr>
            </w:pPr>
            <w:r w:rsidRPr="006421EA">
              <w:rPr>
                <w:rFonts w:asciiTheme="majorHAnsi" w:hAnsiTheme="majorHAnsi" w:cstheme="majorHAnsi"/>
                <w:lang w:val="vi-VN"/>
              </w:rPr>
              <w:t xml:space="preserve"> </w:t>
            </w:r>
            <w:r w:rsidRPr="006421EA">
              <w:rPr>
                <w:spacing w:val="-4"/>
                <w:szCs w:val="27"/>
                <w:lang w:val="vi-VN"/>
              </w:rPr>
              <w:t>1. Tổ chức, cá nhân có thể</w:t>
            </w:r>
            <w:r w:rsidRPr="006421EA">
              <w:rPr>
                <w:rStyle w:val="apple-converted-space"/>
                <w:rFonts w:eastAsiaTheme="majorEastAsia"/>
                <w:spacing w:val="-4"/>
                <w:szCs w:val="27"/>
                <w:lang w:val="vi-VN"/>
              </w:rPr>
              <w:t> </w:t>
            </w:r>
            <w:r w:rsidRPr="006421EA">
              <w:rPr>
                <w:rStyle w:val="Strong"/>
                <w:rFonts w:eastAsiaTheme="majorEastAsia"/>
                <w:spacing w:val="-4"/>
                <w:szCs w:val="27"/>
                <w:lang w:val="vi-VN"/>
              </w:rPr>
              <w:t>tự nguyện từ bỏ</w:t>
            </w:r>
            <w:r w:rsidRPr="006421EA">
              <w:rPr>
                <w:rStyle w:val="apple-converted-space"/>
                <w:rFonts w:eastAsiaTheme="majorEastAsia"/>
                <w:spacing w:val="-4"/>
                <w:szCs w:val="27"/>
                <w:lang w:val="vi-VN"/>
              </w:rPr>
              <w:t> </w:t>
            </w:r>
            <w:r w:rsidRPr="006421EA">
              <w:rPr>
                <w:spacing w:val="-4"/>
                <w:szCs w:val="27"/>
                <w:lang w:val="vi-VN"/>
              </w:rPr>
              <w:t xml:space="preserve">Giấy chứng nhận, Giấy xác nhận, phạm vi hoạt động được phê chuẩn, công nhận đã được cấp theo quy định tại Nghị định này và phải báo cáo bằng văn bản cho Nhà chức trách hàng không Việt Nam. Việc từ bỏ phải được thông báo bằng văn bản cho Nhà chức trách hàng không Việt Nam trước thời điểm dự kiến dừng hoạt động ít nhất 30 ngày </w:t>
            </w:r>
            <w:r w:rsidRPr="006421EA">
              <w:rPr>
                <w:spacing w:val="-4"/>
                <w:szCs w:val="27"/>
                <w:lang w:val="vi-VN"/>
              </w:rPr>
              <w:lastRenderedPageBreak/>
              <w:t>để đảm bảo duy trì các điều kiện an toàn và quyền lợi của bên liên quan.</w:t>
            </w:r>
          </w:p>
          <w:p w14:paraId="677DCC47" w14:textId="201291CB" w:rsidR="00612121" w:rsidRPr="006421EA" w:rsidRDefault="00612121" w:rsidP="006421EA">
            <w:pPr>
              <w:spacing w:before="120" w:after="120"/>
              <w:rPr>
                <w:rFonts w:asciiTheme="majorHAnsi" w:hAnsiTheme="majorHAnsi" w:cstheme="majorHAnsi"/>
                <w:sz w:val="24"/>
                <w:szCs w:val="24"/>
                <w:lang w:val="vi-VN"/>
              </w:rPr>
            </w:pPr>
          </w:p>
        </w:tc>
      </w:tr>
      <w:tr w:rsidR="006421EA" w:rsidRPr="006421EA" w14:paraId="1D5AFDC8" w14:textId="77777777" w:rsidTr="00056436">
        <w:tc>
          <w:tcPr>
            <w:tcW w:w="0" w:type="auto"/>
          </w:tcPr>
          <w:p w14:paraId="14428C1C" w14:textId="7F6E8E4C"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Điều 6 khoản 3</w:t>
            </w:r>
          </w:p>
        </w:tc>
        <w:tc>
          <w:tcPr>
            <w:tcW w:w="0" w:type="auto"/>
          </w:tcPr>
          <w:p w14:paraId="5805D700"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73160A1E" w14:textId="61AA5DE1"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Khoản 3 quy định về hành vi không tuân thủ mức 1 (tương tự tại Điều 6), tuy nhiên dự thảo Nghị định chưa có quy định cụ thể về các cấp độ không tuân thủ, nên quy định này chưa rõ ràng, khó xác định, thiếu tính khả thi trong công tác kiểm tra, giám sát.</w:t>
            </w:r>
          </w:p>
        </w:tc>
        <w:tc>
          <w:tcPr>
            <w:tcW w:w="3864" w:type="dxa"/>
          </w:tcPr>
          <w:p w14:paraId="2D52E883" w14:textId="77777777" w:rsidR="00F55491" w:rsidRPr="006421EA" w:rsidRDefault="00806F5E"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bổ sung nội dung dự thảo như sau:</w:t>
            </w:r>
          </w:p>
          <w:p w14:paraId="46A9585F" w14:textId="77777777" w:rsidR="00806F5E" w:rsidRPr="006421EA" w:rsidRDefault="00806F5E" w:rsidP="006421EA">
            <w:pPr>
              <w:spacing w:before="120" w:after="120"/>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Điều 6. Từ bỏ, đình chỉ và thu hồi</w:t>
            </w:r>
          </w:p>
          <w:p w14:paraId="2F8F090D" w14:textId="50979653" w:rsidR="00806F5E" w:rsidRPr="006421EA" w:rsidRDefault="00806F5E"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3. Nhà chức trách hàng không Việt Nam thực hiện đình chỉ, thu hồi các Giấy chứng nhận, Giấy xác nhận, phạm vi hoạt động được phê chuẩn, công nhận đã cấp trong các trường hợp Nhà chức trách hàng không Việt Nam phát hiện các hành vi không tuân thủ mức 1 theo quy định tại Điều 32 Dự thảo Nghị định quy định chi tiết một số điều của Luật Hàng không dân dụng Việt Nam về Nhà chức trách hàng không Việt Nam và quản lý an toàn hàng không.</w:t>
            </w:r>
          </w:p>
        </w:tc>
      </w:tr>
      <w:tr w:rsidR="006421EA" w:rsidRPr="006421EA" w14:paraId="7956D6A2" w14:textId="77777777" w:rsidTr="00056436">
        <w:tc>
          <w:tcPr>
            <w:tcW w:w="0" w:type="auto"/>
          </w:tcPr>
          <w:p w14:paraId="312693DF" w14:textId="75A50853"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w:t>
            </w:r>
            <w:r w:rsidR="001C0321" w:rsidRPr="006421EA">
              <w:rPr>
                <w:rFonts w:asciiTheme="majorHAnsi" w:hAnsiTheme="majorHAnsi" w:cstheme="majorHAnsi"/>
                <w:sz w:val="24"/>
                <w:szCs w:val="24"/>
                <w:lang w:val="vi-VN"/>
              </w:rPr>
              <w:t>i</w:t>
            </w:r>
            <w:r w:rsidRPr="006421EA">
              <w:rPr>
                <w:rFonts w:asciiTheme="majorHAnsi" w:hAnsiTheme="majorHAnsi" w:cstheme="majorHAnsi"/>
                <w:sz w:val="24"/>
                <w:szCs w:val="24"/>
                <w:lang w:val="vi-VN"/>
              </w:rPr>
              <w:t>ều 6 khoản 5</w:t>
            </w:r>
          </w:p>
        </w:tc>
        <w:tc>
          <w:tcPr>
            <w:tcW w:w="0" w:type="auto"/>
          </w:tcPr>
          <w:p w14:paraId="3003A5DC"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16FEA637" w14:textId="13750428"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Khoản 5: đề nghị quy định rõ Bộ trưởng quy định về các trường hợp hay đối với trình tự thủ tục đình chỉ, thu hồi (lưu ý rà soát để không giao lại trách nhiệm cho Bộ trưởng trong trường hợp trình tự, thủ tục hành chính đã được xác lập trong dự thảo Nghị định này). Vì vậy cần quy định rõ các mức độ vi phạm để làm cơ sở pháp lý cho việc áp dụng các biện pháp đình chỉ, thu hồi giấy phép.</w:t>
            </w:r>
          </w:p>
        </w:tc>
        <w:tc>
          <w:tcPr>
            <w:tcW w:w="3864" w:type="dxa"/>
          </w:tcPr>
          <w:p w14:paraId="3555720D" w14:textId="30D6040A" w:rsidR="00F55491" w:rsidRPr="006421EA" w:rsidRDefault="00806F5E"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 Tiếp thu ý kiến và cập nhật nội dung dự thảo theo hướng quy định rõ Bộ Trưởng Bộ Xây dựng quy định về các trường hợp </w:t>
            </w:r>
            <w:r w:rsidR="00FE7769" w:rsidRPr="006421EA">
              <w:rPr>
                <w:rFonts w:asciiTheme="majorHAnsi" w:hAnsiTheme="majorHAnsi" w:cstheme="majorHAnsi"/>
                <w:sz w:val="24"/>
                <w:szCs w:val="24"/>
                <w:lang w:val="vi-VN"/>
              </w:rPr>
              <w:t xml:space="preserve">bị </w:t>
            </w:r>
            <w:r w:rsidRPr="006421EA">
              <w:rPr>
                <w:rFonts w:asciiTheme="majorHAnsi" w:hAnsiTheme="majorHAnsi" w:cstheme="majorHAnsi"/>
                <w:sz w:val="24"/>
                <w:szCs w:val="24"/>
                <w:lang w:val="vi-VN"/>
              </w:rPr>
              <w:t>đình chỉ, thu hồi Giấy chứng nhận, Giấy xác nhận, phạm vi hoạt động được phê chuẩn, công nhận.</w:t>
            </w:r>
          </w:p>
          <w:p w14:paraId="6E0296E2" w14:textId="77777777" w:rsidR="00806F5E" w:rsidRPr="006421EA" w:rsidRDefault="00806F5E" w:rsidP="006421EA">
            <w:pPr>
              <w:spacing w:before="120" w:after="120"/>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Điều 6. Từ bỏ, đình chỉ và thu hồi</w:t>
            </w:r>
          </w:p>
          <w:p w14:paraId="750E3FA9" w14:textId="77777777" w:rsidR="00806F5E" w:rsidRPr="006421EA" w:rsidRDefault="00806F5E"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5. Bộ Xây dựng quy định chi tiết về các trường hợp và thủ tục, trình tự đình chỉ, thu hồi Giấy chứng nhận, </w:t>
            </w:r>
            <w:r w:rsidRPr="006421EA">
              <w:rPr>
                <w:rFonts w:asciiTheme="majorHAnsi" w:hAnsiTheme="majorHAnsi" w:cstheme="majorHAnsi"/>
                <w:sz w:val="24"/>
                <w:szCs w:val="24"/>
                <w:lang w:val="vi-VN"/>
              </w:rPr>
              <w:lastRenderedPageBreak/>
              <w:t>Giấy xác nhận, phạm vi hoạt động được phê chuẩn, công nhận.</w:t>
            </w:r>
          </w:p>
          <w:p w14:paraId="423B55C9" w14:textId="2D5C8DF8" w:rsidR="00806F5E" w:rsidRPr="006421EA" w:rsidRDefault="00806F5E"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Về các mức độ vi phạm được quy định cụ thể tại Điều 32 dự thảo  Nghị định quy định chi tiết một số điều của Luật Hàng không dân dụng Việt Nam về Nhà chức trách hàng không Việt Nam và quản lý an toàn hàng không</w:t>
            </w:r>
          </w:p>
        </w:tc>
      </w:tr>
      <w:tr w:rsidR="006421EA" w:rsidRPr="006421EA" w14:paraId="2775C855" w14:textId="77777777" w:rsidTr="00056436">
        <w:tc>
          <w:tcPr>
            <w:tcW w:w="0" w:type="auto"/>
          </w:tcPr>
          <w:p w14:paraId="11BB34A2" w14:textId="009C2FE7"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Điều 8</w:t>
            </w:r>
          </w:p>
        </w:tc>
        <w:tc>
          <w:tcPr>
            <w:tcW w:w="0" w:type="auto"/>
          </w:tcPr>
          <w:p w14:paraId="55DEE61E"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632F00BC" w14:textId="1A9441B5"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5. Điều 8: đ</w:t>
            </w:r>
            <w:r w:rsidRPr="006421EA">
              <w:rPr>
                <w:rFonts w:asciiTheme="majorHAnsi" w:hAnsiTheme="majorHAnsi" w:cstheme="majorHAnsi"/>
                <w:sz w:val="24"/>
                <w:szCs w:val="24"/>
              </w:rPr>
              <w:t xml:space="preserve">ề nghị rà soát, xác định rõ địa vị pháp lý của chủ thể </w:t>
            </w:r>
            <w:r w:rsidRPr="006421EA">
              <w:rPr>
                <w:rFonts w:asciiTheme="majorHAnsi" w:hAnsiTheme="majorHAnsi" w:cstheme="majorHAnsi"/>
                <w:sz w:val="24"/>
                <w:szCs w:val="24"/>
                <w:lang w:val="vi-VN"/>
              </w:rPr>
              <w:t>“</w:t>
            </w:r>
            <w:r w:rsidRPr="006421EA">
              <w:rPr>
                <w:rFonts w:asciiTheme="majorHAnsi" w:hAnsiTheme="majorHAnsi" w:cstheme="majorHAnsi"/>
                <w:sz w:val="24"/>
                <w:szCs w:val="24"/>
              </w:rPr>
              <w:t>người có đủ năng lực, trình độ, kinh nghiệm</w:t>
            </w:r>
            <w:r w:rsidRPr="006421EA">
              <w:rPr>
                <w:rFonts w:asciiTheme="majorHAnsi" w:hAnsiTheme="majorHAnsi" w:cstheme="majorHAnsi"/>
                <w:sz w:val="24"/>
                <w:szCs w:val="24"/>
                <w:lang w:val="vi-VN"/>
              </w:rPr>
              <w:t>”</w:t>
            </w:r>
            <w:r w:rsidRPr="006421EA">
              <w:rPr>
                <w:rFonts w:asciiTheme="majorHAnsi" w:hAnsiTheme="majorHAnsi" w:cstheme="majorHAnsi"/>
                <w:sz w:val="24"/>
                <w:szCs w:val="24"/>
              </w:rPr>
              <w:t xml:space="preserve"> quy định tại Khoản 1 để đảm bảo tính thống nhất trong thực thi công vụ. Dự thảo cần làm rõ việc các cá nhân này sau khi được Nhà chức trách hàng không phê chuẩn có được định danh là Giám sát viên an toàn hàng không. Việc thiếu định danh rõ ràng sẽ dẫn đến lúng túng trong việc xác định thẩm quyền khi thực hiện các </w:t>
            </w:r>
            <w:r w:rsidRPr="006421EA">
              <w:rPr>
                <w:rFonts w:asciiTheme="majorHAnsi" w:hAnsiTheme="majorHAnsi" w:cstheme="majorHAnsi"/>
                <w:sz w:val="24"/>
                <w:szCs w:val="24"/>
                <w:lang w:val="vi-VN"/>
              </w:rPr>
              <w:t>nhiệm vụ giám sát.</w:t>
            </w:r>
          </w:p>
        </w:tc>
        <w:tc>
          <w:tcPr>
            <w:tcW w:w="3864" w:type="dxa"/>
          </w:tcPr>
          <w:p w14:paraId="1D3C2575" w14:textId="55A3195E" w:rsidR="00F55491" w:rsidRPr="006421EA" w:rsidRDefault="00C24D67"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và đã sửa vào dự thảo làm rõ</w:t>
            </w:r>
          </w:p>
        </w:tc>
      </w:tr>
      <w:tr w:rsidR="006421EA" w:rsidRPr="006421EA" w14:paraId="09E116E5" w14:textId="77777777" w:rsidTr="00056436">
        <w:tc>
          <w:tcPr>
            <w:tcW w:w="0" w:type="auto"/>
          </w:tcPr>
          <w:p w14:paraId="708FB495" w14:textId="1643587C"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9 khoản 1</w:t>
            </w:r>
          </w:p>
        </w:tc>
        <w:tc>
          <w:tcPr>
            <w:tcW w:w="0" w:type="auto"/>
          </w:tcPr>
          <w:p w14:paraId="540FA67F"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77734567" w14:textId="3CEC7880"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6. Điều 9 khoản 1: đề nghị bỏ cụm từ “phù hợp” tại đoạn “tiêu chuẩn kỹ thuật phù hợp”.</w:t>
            </w:r>
          </w:p>
        </w:tc>
        <w:tc>
          <w:tcPr>
            <w:tcW w:w="3864" w:type="dxa"/>
          </w:tcPr>
          <w:p w14:paraId="1C3A7682" w14:textId="78E0E0A9" w:rsidR="00671D28" w:rsidRPr="006421EA" w:rsidRDefault="00671D28"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và cập nhật nội dung dự thảo</w:t>
            </w:r>
          </w:p>
        </w:tc>
      </w:tr>
      <w:tr w:rsidR="006421EA" w:rsidRPr="006421EA" w14:paraId="48913779" w14:textId="77777777" w:rsidTr="00056436">
        <w:tc>
          <w:tcPr>
            <w:tcW w:w="0" w:type="auto"/>
          </w:tcPr>
          <w:p w14:paraId="14B472ED" w14:textId="64B4F411"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t>Điều 9 khoản 3</w:t>
            </w:r>
          </w:p>
        </w:tc>
        <w:tc>
          <w:tcPr>
            <w:tcW w:w="0" w:type="auto"/>
          </w:tcPr>
          <w:p w14:paraId="69A9B1D5"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2E181A03" w14:textId="3BDAFB7D"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Khoản 3: đề nghị rà soát lại dẫn chiếu.</w:t>
            </w:r>
          </w:p>
        </w:tc>
        <w:tc>
          <w:tcPr>
            <w:tcW w:w="3864" w:type="dxa"/>
          </w:tcPr>
          <w:p w14:paraId="6DAAB290" w14:textId="6FFEBD91" w:rsidR="00F55491" w:rsidRPr="006421EA" w:rsidRDefault="00671D28"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và cập nhật nội dung dự thảo</w:t>
            </w:r>
          </w:p>
        </w:tc>
      </w:tr>
      <w:tr w:rsidR="006421EA" w:rsidRPr="006421EA" w14:paraId="3E7C0C63" w14:textId="77777777" w:rsidTr="00056436">
        <w:tc>
          <w:tcPr>
            <w:tcW w:w="0" w:type="auto"/>
          </w:tcPr>
          <w:p w14:paraId="28880B60" w14:textId="48B42F6A"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t>Điều 12 khoản 3</w:t>
            </w:r>
          </w:p>
        </w:tc>
        <w:tc>
          <w:tcPr>
            <w:tcW w:w="0" w:type="auto"/>
          </w:tcPr>
          <w:p w14:paraId="06291787"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71784B9D" w14:textId="1CA924A9"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7. Điều 12 khoản 3: đề nghị rà soát quy định “tiêu chuẩn do Bộ Xây dựng quy định” để phù hợp với Luật Quy chuẩn và tiêu chuẩn kỹ thuật.</w:t>
            </w:r>
          </w:p>
        </w:tc>
        <w:tc>
          <w:tcPr>
            <w:tcW w:w="3864" w:type="dxa"/>
          </w:tcPr>
          <w:p w14:paraId="2EF9C15E" w14:textId="7E507F1B" w:rsidR="00F55491" w:rsidRPr="006421EA" w:rsidRDefault="00671D28"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cập nhận nội dung dự thảo</w:t>
            </w:r>
          </w:p>
        </w:tc>
      </w:tr>
      <w:tr w:rsidR="006421EA" w:rsidRPr="006421EA" w14:paraId="44804108" w14:textId="77777777" w:rsidTr="00056436">
        <w:tc>
          <w:tcPr>
            <w:tcW w:w="0" w:type="auto"/>
          </w:tcPr>
          <w:p w14:paraId="0A2EE455" w14:textId="1F5A75A3"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t>Điều 12 khoản 5</w:t>
            </w:r>
          </w:p>
        </w:tc>
        <w:tc>
          <w:tcPr>
            <w:tcW w:w="0" w:type="auto"/>
          </w:tcPr>
          <w:p w14:paraId="43FA4721"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738783F1" w14:textId="27E7E2F0"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 Khoản 5: đề nghị không liệt kê các loại hình hoạt động hàng không chuyên dùng vì nội dung này đã được quy định tại khoản 3 Điều 49 Luật HKDDVN </w:t>
            </w:r>
            <w:r w:rsidRPr="006421EA">
              <w:rPr>
                <w:rFonts w:asciiTheme="majorHAnsi" w:hAnsiTheme="majorHAnsi" w:cstheme="majorHAnsi"/>
                <w:sz w:val="24"/>
                <w:szCs w:val="24"/>
                <w:lang w:val="vi-VN"/>
              </w:rPr>
              <w:lastRenderedPageBreak/>
              <w:t>2025.</w:t>
            </w:r>
          </w:p>
        </w:tc>
        <w:tc>
          <w:tcPr>
            <w:tcW w:w="3864" w:type="dxa"/>
          </w:tcPr>
          <w:p w14:paraId="30DDB547" w14:textId="378EF41B" w:rsidR="00F55491" w:rsidRPr="006421EA" w:rsidRDefault="00671D28"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Tiếp thu ý kiến và cập nhận nội dung dự thảo</w:t>
            </w:r>
          </w:p>
        </w:tc>
      </w:tr>
      <w:tr w:rsidR="006421EA" w:rsidRPr="006421EA" w14:paraId="047D805D" w14:textId="77777777" w:rsidTr="00056436">
        <w:tc>
          <w:tcPr>
            <w:tcW w:w="0" w:type="auto"/>
          </w:tcPr>
          <w:p w14:paraId="36F94610" w14:textId="2A652EFC"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lastRenderedPageBreak/>
              <w:t>Điều 13 khoản 3</w:t>
            </w:r>
          </w:p>
        </w:tc>
        <w:tc>
          <w:tcPr>
            <w:tcW w:w="0" w:type="auto"/>
          </w:tcPr>
          <w:p w14:paraId="1401AAE2"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1F055621" w14:textId="5F4FE200"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8. Điều 13 khoản 3, 4: đề nghị làm rõ nội dung “theo quy định”.</w:t>
            </w:r>
          </w:p>
        </w:tc>
        <w:tc>
          <w:tcPr>
            <w:tcW w:w="3864" w:type="dxa"/>
          </w:tcPr>
          <w:p w14:paraId="2AC5E20B" w14:textId="128983DB" w:rsidR="00F55491" w:rsidRPr="006421EA" w:rsidRDefault="00671D28"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cập nhận nội dung dự thảo</w:t>
            </w:r>
          </w:p>
        </w:tc>
      </w:tr>
      <w:tr w:rsidR="006421EA" w:rsidRPr="006421EA" w14:paraId="7E58AF10" w14:textId="77777777" w:rsidTr="00056436">
        <w:tc>
          <w:tcPr>
            <w:tcW w:w="0" w:type="auto"/>
          </w:tcPr>
          <w:p w14:paraId="003FAC03" w14:textId="1BF5A8E1"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23</w:t>
            </w:r>
          </w:p>
        </w:tc>
        <w:tc>
          <w:tcPr>
            <w:tcW w:w="0" w:type="auto"/>
          </w:tcPr>
          <w:p w14:paraId="25B69980"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692B95FF" w14:textId="41469718"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9. Điều 23 đề nghị rà soát để chuyển các nội dung mang tính nguyên tắc về giải quyết thủ tục hành chính lên Điều 5 để tránh các quy định trùng lặp.</w:t>
            </w:r>
          </w:p>
        </w:tc>
        <w:tc>
          <w:tcPr>
            <w:tcW w:w="3864" w:type="dxa"/>
          </w:tcPr>
          <w:p w14:paraId="48263F56" w14:textId="69762708" w:rsidR="004B32FC" w:rsidRPr="006421EA" w:rsidRDefault="00671D28"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cập nhận nội dung dự thảo</w:t>
            </w:r>
          </w:p>
        </w:tc>
      </w:tr>
      <w:tr w:rsidR="006421EA" w:rsidRPr="006421EA" w14:paraId="119E1147" w14:textId="77777777" w:rsidTr="00056436">
        <w:tc>
          <w:tcPr>
            <w:tcW w:w="0" w:type="auto"/>
          </w:tcPr>
          <w:p w14:paraId="66A5D607" w14:textId="2B2F414C"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35 khoản 2</w:t>
            </w:r>
          </w:p>
        </w:tc>
        <w:tc>
          <w:tcPr>
            <w:tcW w:w="0" w:type="auto"/>
          </w:tcPr>
          <w:p w14:paraId="0310B372"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32C0DB48" w14:textId="14BBC344"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10. Điều 35 khoản 2 đề nghị rà soát quy định </w:t>
            </w:r>
            <w:r w:rsidRPr="006421EA">
              <w:rPr>
                <w:rFonts w:asciiTheme="majorHAnsi" w:hAnsiTheme="majorHAnsi" w:cstheme="majorHAnsi"/>
                <w:i/>
                <w:sz w:val="24"/>
                <w:szCs w:val="24"/>
                <w:lang w:val="vi-VN"/>
              </w:rPr>
              <w:t>“</w:t>
            </w:r>
            <w:r w:rsidRPr="006421EA">
              <w:rPr>
                <w:rFonts w:asciiTheme="majorHAnsi" w:hAnsiTheme="majorHAnsi" w:cstheme="majorHAnsi"/>
                <w:i/>
                <w:sz w:val="24"/>
                <w:szCs w:val="24"/>
              </w:rPr>
              <w:t>Các Giấy chứng nhận mới hoặc văn bản liên quan được Cục Hàng không Việt Nam ban hành sau quá trình sửa chữa, bổ sung hoặc điều chỉnh sẽ thay thế cho các Giấy chứng nhận, văn bản tương ứng ban đầu</w:t>
            </w:r>
            <w:r w:rsidRPr="006421EA">
              <w:rPr>
                <w:rFonts w:asciiTheme="majorHAnsi" w:hAnsiTheme="majorHAnsi" w:cstheme="majorHAnsi"/>
                <w:i/>
                <w:sz w:val="24"/>
                <w:szCs w:val="24"/>
                <w:lang w:val="vi-VN"/>
              </w:rPr>
              <w:t xml:space="preserve">” </w:t>
            </w:r>
            <w:r w:rsidRPr="006421EA">
              <w:rPr>
                <w:rFonts w:asciiTheme="majorHAnsi" w:hAnsiTheme="majorHAnsi" w:cstheme="majorHAnsi"/>
                <w:sz w:val="24"/>
                <w:szCs w:val="24"/>
                <w:lang w:val="vi-VN"/>
              </w:rPr>
              <w:t>để đảm bảo tính rõ nghĩa.</w:t>
            </w:r>
          </w:p>
        </w:tc>
        <w:tc>
          <w:tcPr>
            <w:tcW w:w="3864" w:type="dxa"/>
          </w:tcPr>
          <w:p w14:paraId="2857AD36" w14:textId="77777777" w:rsidR="000E1F2E" w:rsidRPr="006421EA" w:rsidRDefault="00C70CC2"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xin sửa lại như sau:</w:t>
            </w:r>
          </w:p>
          <w:p w14:paraId="2BA91BD9" w14:textId="23F09254" w:rsidR="00C70CC2" w:rsidRPr="006421EA" w:rsidRDefault="00C70CC2"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Cục HKVN ban hành Giấy chứng nhận hoặc văn bản sửa đổi, bổ sung trong đó nêu rõ việc thay thế cho các giấy chứng nhận, văn bản tương ứng ban đầu</w:t>
            </w:r>
          </w:p>
        </w:tc>
      </w:tr>
      <w:tr w:rsidR="006421EA" w:rsidRPr="006421EA" w14:paraId="76E7EEF5" w14:textId="77777777" w:rsidTr="00056436">
        <w:tc>
          <w:tcPr>
            <w:tcW w:w="0" w:type="auto"/>
          </w:tcPr>
          <w:p w14:paraId="724F06B0" w14:textId="7C8A1C92"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36 khoản 2</w:t>
            </w:r>
          </w:p>
        </w:tc>
        <w:tc>
          <w:tcPr>
            <w:tcW w:w="0" w:type="auto"/>
          </w:tcPr>
          <w:p w14:paraId="5CC07783"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5EB5B3E1" w14:textId="44D3E0D1"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11. Điều 36 khoản 2: đề nghị làm rõ nội hàm giao Bộ trưởng quy định “chi tiết đối với người khai thác tàu bay”.</w:t>
            </w:r>
          </w:p>
        </w:tc>
        <w:tc>
          <w:tcPr>
            <w:tcW w:w="3864" w:type="dxa"/>
          </w:tcPr>
          <w:p w14:paraId="1C72A5F2" w14:textId="77777777" w:rsidR="00814944" w:rsidRPr="006421EA" w:rsidRDefault="0081494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Quy định tại khoản 2 Điều 36 về việc giao Bộ trưởng Bộ Xây dựng quy định chi tiết đối với từng loại hoạt động khai thác tàu bay là cần thiết nhằm bảo đảm phù hợp với các tiêu chuẩn và khuyến cáo của International Civil Aviation Organization quy định tại ICAO Annex 6 Part I, ICAO Annex 6 Part II và ICAO Annex 6 Part III.</w:t>
            </w:r>
          </w:p>
          <w:p w14:paraId="454D074C" w14:textId="77777777" w:rsidR="00814944" w:rsidRPr="006421EA" w:rsidRDefault="00814944"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t xml:space="preserve">Theo đó, các yêu cầu về tổ chức khai thác, tổ lái, trang thiết bị và bảo đảm an toàn bay được ICAO quy định khác nhau tùy theo mục đích khai thác, loại tàu bay, tính chất hoạt động và mức độ rủi ro. Do vậy, việc quy </w:t>
            </w:r>
            <w:r w:rsidRPr="006421EA">
              <w:rPr>
                <w:rFonts w:asciiTheme="majorHAnsi" w:hAnsiTheme="majorHAnsi" w:cstheme="majorHAnsi"/>
                <w:sz w:val="24"/>
                <w:szCs w:val="24"/>
                <w:lang w:val="vi-VN"/>
              </w:rPr>
              <w:lastRenderedPageBreak/>
              <w:t>định chi tiết theo từng loại hình khai thác nhằm bảo đảm nội luật hóa đầy đủ các tiêu chuẩn quốc tế, đồng thời phù hợp với điều kiện thực tiễn, góp phần nâng cao mức độ an toàn và hiệu quả trong hoạt động khai thác tàu bay.</w:t>
            </w:r>
          </w:p>
          <w:p w14:paraId="26BCCF81" w14:textId="77777777" w:rsidR="003B1E27" w:rsidRPr="006421EA" w:rsidRDefault="003B1E27"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rPr>
              <w:t>Tiếp thu và sửa vào dự thảo như sau:</w:t>
            </w:r>
          </w:p>
          <w:p w14:paraId="6C0F7306" w14:textId="2825F244" w:rsidR="003F4662" w:rsidRPr="006421EA" w:rsidRDefault="003F4662" w:rsidP="006421EA">
            <w:pPr>
              <w:rPr>
                <w:lang w:val="vi-VN"/>
              </w:rPr>
            </w:pPr>
            <w:r w:rsidRPr="006421EA">
              <w:t>2</w:t>
            </w:r>
            <w:r w:rsidRPr="006421EA">
              <w:rPr>
                <w:lang w:val="vi-VN"/>
              </w:rPr>
              <w:t>. Bộ trưởng Bộ Xây dựng quy định các yêu cầu cụ thể đối với các hoạt động khai thác tàu bay theo khoản 1 Điều này.</w:t>
            </w:r>
          </w:p>
          <w:p w14:paraId="7BC2B007" w14:textId="2EAA2CBC" w:rsidR="003B1E27" w:rsidRPr="006421EA" w:rsidRDefault="003B1E27" w:rsidP="006421EA">
            <w:pPr>
              <w:spacing w:before="120" w:after="120"/>
              <w:rPr>
                <w:rFonts w:asciiTheme="majorHAnsi" w:hAnsiTheme="majorHAnsi" w:cstheme="majorHAnsi"/>
                <w:sz w:val="24"/>
                <w:szCs w:val="24"/>
                <w:lang w:val="vi-VN"/>
              </w:rPr>
            </w:pPr>
          </w:p>
        </w:tc>
      </w:tr>
      <w:tr w:rsidR="006421EA" w:rsidRPr="006421EA" w14:paraId="3BFA4A2B" w14:textId="77777777" w:rsidTr="00056436">
        <w:tc>
          <w:tcPr>
            <w:tcW w:w="0" w:type="auto"/>
          </w:tcPr>
          <w:p w14:paraId="3A3F0961" w14:textId="3844B3FF"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Điều 37</w:t>
            </w:r>
          </w:p>
        </w:tc>
        <w:tc>
          <w:tcPr>
            <w:tcW w:w="0" w:type="auto"/>
          </w:tcPr>
          <w:p w14:paraId="1F579892"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7E84D3B4" w14:textId="653B5227"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12. Điều 37: đề nghị rà soát chỉnh lý các nội dung “phê chuẩn”, “được Cục HKVN phê chuẩn”, “phê chuẩn trước khi áp dụng”, “phê chuẩn theo quy định”, “phê chuẩn theo trình tự thủ tục do Bộ trưởng Bộ Xây dựng quy định” để đảm bảo tính thống nhất trong nội dung của Điều.</w:t>
            </w:r>
          </w:p>
        </w:tc>
        <w:tc>
          <w:tcPr>
            <w:tcW w:w="3864" w:type="dxa"/>
          </w:tcPr>
          <w:p w14:paraId="20BBF343" w14:textId="7E203C22" w:rsidR="00814944" w:rsidRPr="006421EA" w:rsidRDefault="0081494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sửa đổi, bổ sung dự thảo</w:t>
            </w:r>
            <w:r w:rsidR="00956356" w:rsidRPr="006421EA">
              <w:rPr>
                <w:rFonts w:asciiTheme="majorHAnsi" w:hAnsiTheme="majorHAnsi" w:cstheme="majorHAnsi"/>
                <w:sz w:val="24"/>
                <w:szCs w:val="24"/>
                <w:lang w:val="vi-VN"/>
              </w:rPr>
              <w:t xml:space="preserve"> để đồng bộ.</w:t>
            </w:r>
          </w:p>
          <w:p w14:paraId="48BAA936" w14:textId="57C8A237" w:rsidR="00814944" w:rsidRPr="006421EA" w:rsidRDefault="00814944" w:rsidP="006421EA">
            <w:pPr>
              <w:spacing w:before="120" w:after="120"/>
              <w:rPr>
                <w:rFonts w:asciiTheme="majorHAnsi" w:hAnsiTheme="majorHAnsi" w:cstheme="majorHAnsi"/>
                <w:sz w:val="24"/>
                <w:szCs w:val="24"/>
                <w:lang w:val="vi-VN"/>
              </w:rPr>
            </w:pPr>
          </w:p>
        </w:tc>
      </w:tr>
      <w:tr w:rsidR="006421EA" w:rsidRPr="006421EA" w14:paraId="3DA805D6" w14:textId="77777777" w:rsidTr="00056436">
        <w:tc>
          <w:tcPr>
            <w:tcW w:w="0" w:type="auto"/>
          </w:tcPr>
          <w:p w14:paraId="529F0EAA" w14:textId="13F005CB"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t>Điều 37 khoản 3</w:t>
            </w:r>
          </w:p>
        </w:tc>
        <w:tc>
          <w:tcPr>
            <w:tcW w:w="0" w:type="auto"/>
          </w:tcPr>
          <w:p w14:paraId="3B027057"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679C989D" w14:textId="2E0B1C19"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Khoản 3: đề nghị làm rõ quy định giao Bộ trưởng quy định chi tiết các trình tự thủ tục phê duyệt hệ thống tài liệu, hay quy định chi tiết toàn bộ các nội dung của Điều?</w:t>
            </w:r>
          </w:p>
        </w:tc>
        <w:tc>
          <w:tcPr>
            <w:tcW w:w="3864" w:type="dxa"/>
          </w:tcPr>
          <w:p w14:paraId="7D97A529" w14:textId="256B90C1" w:rsidR="001E5123" w:rsidRPr="006421EA" w:rsidRDefault="001E5123"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Khoản 3 là Bộ trưởng Bộ xây dựng quy định chi tiết toàn bộ các nội dung của Điều này.</w:t>
            </w:r>
          </w:p>
        </w:tc>
      </w:tr>
      <w:tr w:rsidR="006421EA" w:rsidRPr="006421EA" w14:paraId="6EB8CF7E" w14:textId="77777777" w:rsidTr="00056436">
        <w:tc>
          <w:tcPr>
            <w:tcW w:w="0" w:type="auto"/>
          </w:tcPr>
          <w:p w14:paraId="4B5091F8" w14:textId="62F48999"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41 khoản 2</w:t>
            </w:r>
          </w:p>
        </w:tc>
        <w:tc>
          <w:tcPr>
            <w:tcW w:w="0" w:type="auto"/>
          </w:tcPr>
          <w:p w14:paraId="6CFCC563"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382D4F31" w14:textId="660ACF59"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13. Điều 41 khoản 2: đề nghị quy định rõ Nhà chức trách hàng không phê chuẩn nội dung gì?</w:t>
            </w:r>
          </w:p>
        </w:tc>
        <w:tc>
          <w:tcPr>
            <w:tcW w:w="3864" w:type="dxa"/>
          </w:tcPr>
          <w:p w14:paraId="3D43D7C1" w14:textId="28B621F0" w:rsidR="00814944" w:rsidRPr="006421EA" w:rsidRDefault="0081494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sửa đổi, bổ sung dự thảo</w:t>
            </w:r>
          </w:p>
        </w:tc>
      </w:tr>
      <w:tr w:rsidR="006421EA" w:rsidRPr="006421EA" w14:paraId="6173B4F7" w14:textId="77777777" w:rsidTr="00056436">
        <w:tc>
          <w:tcPr>
            <w:tcW w:w="0" w:type="auto"/>
          </w:tcPr>
          <w:p w14:paraId="1BC8D1E6" w14:textId="7027BB00"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44 khoản 4</w:t>
            </w:r>
          </w:p>
        </w:tc>
        <w:tc>
          <w:tcPr>
            <w:tcW w:w="0" w:type="auto"/>
          </w:tcPr>
          <w:p w14:paraId="02293375"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01A7CD40" w14:textId="5DE9E5C2"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14. Điều 44 khoản 4: đề nghị thay thế cụm từ “chính sách” bằng từ “quy định”; tương tự tại khoản 5 Điều 45.</w:t>
            </w:r>
          </w:p>
        </w:tc>
        <w:tc>
          <w:tcPr>
            <w:tcW w:w="3864" w:type="dxa"/>
          </w:tcPr>
          <w:p w14:paraId="1D79B724" w14:textId="60C242C6" w:rsidR="00814944" w:rsidRPr="006421EA" w:rsidRDefault="0081494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sửa đổi, bổ sung dự thảo</w:t>
            </w:r>
          </w:p>
        </w:tc>
      </w:tr>
      <w:tr w:rsidR="006421EA" w:rsidRPr="006421EA" w14:paraId="56B6D1AC" w14:textId="77777777" w:rsidTr="00056436">
        <w:tc>
          <w:tcPr>
            <w:tcW w:w="0" w:type="auto"/>
          </w:tcPr>
          <w:p w14:paraId="600F3413" w14:textId="77777777"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52 khoản 2</w:t>
            </w:r>
          </w:p>
          <w:p w14:paraId="391242CF" w14:textId="77777777" w:rsidR="0082370C"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Điều 57 khoản 2</w:t>
            </w:r>
          </w:p>
          <w:p w14:paraId="52D4E022" w14:textId="114D1995" w:rsidR="0082370C"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62 khoản 2</w:t>
            </w:r>
          </w:p>
        </w:tc>
        <w:tc>
          <w:tcPr>
            <w:tcW w:w="0" w:type="auto"/>
          </w:tcPr>
          <w:p w14:paraId="4BA76AFE"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70C068AA" w14:textId="096083DA"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15. Điều 52 khoản 2: đề nghị rà soát để cắt giảm </w:t>
            </w:r>
            <w:r w:rsidRPr="006421EA">
              <w:rPr>
                <w:rFonts w:asciiTheme="majorHAnsi" w:hAnsiTheme="majorHAnsi" w:cstheme="majorHAnsi"/>
                <w:sz w:val="24"/>
                <w:szCs w:val="24"/>
                <w:lang w:val="vi-VN"/>
              </w:rPr>
              <w:lastRenderedPageBreak/>
              <w:t>các điều kiện không cần thiết hoặc các điều kiện chung chung không có tiêu chí xác định như điều kiện nguồn nhân lực (điểm c), hệ thống tài liệu hướng dẫn (điểm b), dữ liệu bảo dưỡng (điểm g); tương tự như vậy, đề nghị rà soát quy định tại khoản 2 Điều 57 (điểm  b, c, đ, h, i) và khoản 2 Điều 62 vì các nội dung này không xác định tiêu chí hoặc thuộc về các nội dung hoạt động của doanh nghiệp. Trường hợp cần thiết giữ các điều kiện này đề nghị không thực hiện việc kiểm soát các điều kiện kinh doanh bằng hoạt động cấp giấy phép trước khi thực hiện hoạt động mà thực hiện việc kiểm soát điều kiện kinh doanh thông qua các hoạt động hậu kiểm.</w:t>
            </w:r>
          </w:p>
        </w:tc>
        <w:tc>
          <w:tcPr>
            <w:tcW w:w="3864" w:type="dxa"/>
          </w:tcPr>
          <w:p w14:paraId="404DD6C6" w14:textId="77777777" w:rsidR="00F55491"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 xml:space="preserve">Tiếp thu ý kiến và sửa đổi, bổ sung </w:t>
            </w:r>
            <w:r w:rsidRPr="006421EA">
              <w:rPr>
                <w:rFonts w:asciiTheme="majorHAnsi" w:hAnsiTheme="majorHAnsi" w:cstheme="majorHAnsi"/>
                <w:sz w:val="24"/>
                <w:szCs w:val="24"/>
                <w:lang w:val="vi-VN"/>
              </w:rPr>
              <w:lastRenderedPageBreak/>
              <w:t>dự thảo</w:t>
            </w:r>
          </w:p>
          <w:p w14:paraId="5F79BC38" w14:textId="4D35815B" w:rsidR="00CE4B30" w:rsidRPr="006421EA" w:rsidRDefault="00CE4B30" w:rsidP="006421EA">
            <w:pPr>
              <w:spacing w:before="120" w:after="120"/>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Điều 52. Yêu cầu đối với tổ chức bảo dưỡng</w:t>
            </w:r>
          </w:p>
          <w:p w14:paraId="5C36A78E"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1. Tổ chức bảo dưỡng là một tổ chức được Nhà chức trách hàng không Việt Nam phê chuẩn để thực hiện bảo dưỡng tàu bay, động cơ tàu bay, cánh quạt tàu bay, trang thiết bị tàu bay hoặc thay mặt chủ sở hữu, người khai thác tàu bay thực hiện quản lý các tiêu chuẩn đủ điều kiện bay liên tục của tàu bay.</w:t>
            </w:r>
          </w:p>
          <w:p w14:paraId="37C6CC0D"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2. Theo phạm vi phê chuẩn đề nghị, tổ chức bảo dưỡng phải đảm bảo các yêu cầu sau:</w:t>
            </w:r>
          </w:p>
          <w:p w14:paraId="608EE3EA"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a) Có tổ chức bộ máy điều hành bao gồm giám đốc điều hành và các vị trí chủ chốt có đầy đủ năng lực, trình độ, kinh nghiệm, hiểu biết về hàng không dân dụng;</w:t>
            </w:r>
          </w:p>
          <w:p w14:paraId="64CA7600"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b) Có cơ sở vật chất, trang thiết bị, nguồn nhân lực, hệ thống tài liệu hướng dẫn bảo dưỡng, quản lý bảo dưỡng bao gồm nội dung về giải trình tổ chức bảo dưỡng, chương trình huấn luyện, giải trình năng lực;</w:t>
            </w:r>
          </w:p>
          <w:p w14:paraId="0E57CCAD"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c) Có tài liệu hệ thống quản lý an toàn phù hợp với quy mô của tổ chức.</w:t>
            </w:r>
          </w:p>
          <w:p w14:paraId="24303C89" w14:textId="558A4C35" w:rsidR="00CE4B30" w:rsidRPr="006421EA" w:rsidRDefault="00CE4B30" w:rsidP="006421EA">
            <w:pPr>
              <w:spacing w:before="120" w:after="120"/>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 xml:space="preserve">Điều 58. Yêu cầu đối với tổ chức </w:t>
            </w:r>
            <w:r w:rsidRPr="006421EA">
              <w:rPr>
                <w:rFonts w:asciiTheme="majorHAnsi" w:hAnsiTheme="majorHAnsi" w:cstheme="majorHAnsi"/>
                <w:b/>
                <w:bCs/>
                <w:sz w:val="24"/>
                <w:szCs w:val="24"/>
                <w:lang w:val="vi-VN"/>
              </w:rPr>
              <w:lastRenderedPageBreak/>
              <w:t>thiết kế, thử nghiệm</w:t>
            </w:r>
          </w:p>
          <w:p w14:paraId="698F1627"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1. Tổ chức thiết kế, thử nghiệm là một tổ chức được Nhà chức trách hàng không Việt Nam phê chuẩn để thực hiện việc thiết kế, thử nghiệm, thay đổi thiết kế hoặc ban hành hướng dẫn sửa chữa đối với tàu bay, động cơ tàu bay, cánh quạt tàu bay và trang thiết bị tàu bay.</w:t>
            </w:r>
          </w:p>
          <w:p w14:paraId="3151D3D3"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2. Theo phạm vi phê chuẩn đề nghị, tổ chức thiết kế, thử nghiệm phải đảm bảo các điều kiện sau:</w:t>
            </w:r>
          </w:p>
          <w:p w14:paraId="2B381095"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a) Có tổ chức bộ máy điều hành bao gồm giám đốc điều hành và các vị trí chủ chốt có đầy đủ năng lực, trình độ, kinh nghiệm, hiểu biết về hàng không dân dụng;</w:t>
            </w:r>
          </w:p>
          <w:p w14:paraId="20E0F02F"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b) Có cơ sở vật chất, trang thiết bị, nguồn nhân lực, hệ thống tài liệu hướng dẫn thiết kế, thử nghiệm bao gồm nội dung về giải trình tổ chức thiết kế, thử nghiệm, chương trình huấn luyện, giải trình năng lực;</w:t>
            </w:r>
          </w:p>
          <w:p w14:paraId="037F86B5" w14:textId="77777777" w:rsidR="00CE4B30"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c) Có tài liệu hệ thống quản lý an toàn phù hợp với quy mô của tổ chức.</w:t>
            </w:r>
          </w:p>
          <w:p w14:paraId="566A3791" w14:textId="77777777" w:rsidR="00CE4B30" w:rsidRPr="006421EA" w:rsidRDefault="00CE4B30" w:rsidP="006421EA">
            <w:pPr>
              <w:spacing w:before="120" w:after="120"/>
              <w:rPr>
                <w:rFonts w:asciiTheme="majorHAnsi" w:hAnsiTheme="majorHAnsi" w:cstheme="majorHAnsi"/>
                <w:b/>
                <w:bCs/>
                <w:sz w:val="24"/>
                <w:szCs w:val="24"/>
                <w:lang w:val="vi-VN"/>
              </w:rPr>
            </w:pPr>
          </w:p>
          <w:p w14:paraId="48E66E95" w14:textId="46AD5CF6" w:rsidR="00884D6C" w:rsidRPr="006421EA" w:rsidRDefault="00884D6C" w:rsidP="006421EA">
            <w:pPr>
              <w:spacing w:before="120" w:after="120"/>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Điều 64. Yêu cầu đối với tổ chức sản xuất</w:t>
            </w:r>
          </w:p>
          <w:p w14:paraId="1D737B9D"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1. Tổ chức sản xuất tàu bay, động cơ </w:t>
            </w:r>
            <w:r w:rsidRPr="006421EA">
              <w:rPr>
                <w:rFonts w:asciiTheme="majorHAnsi" w:hAnsiTheme="majorHAnsi" w:cstheme="majorHAnsi"/>
                <w:sz w:val="24"/>
                <w:szCs w:val="24"/>
                <w:lang w:val="vi-VN"/>
              </w:rPr>
              <w:lastRenderedPageBreak/>
              <w:t xml:space="preserve">tàu bay, cánh quạt tàu bay và trang thiết bị tàu bay phải được Cục Hàng không Việt Nam cấp Giấy chứng nhận tổ chức sản xuất, trừ trường hợp quy định tại khoản 2 Điều này. Các đối tượng phải cấp giấy chứng nhận bao gồm: </w:t>
            </w:r>
          </w:p>
          <w:p w14:paraId="7259EE4E"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a) Tổ chức sản xuất tàu bay, động cơ tàu bay, cánh quạt tàu bay và trang thiết bị tàu bay theo thiết kế loại đã được Cục Hàng không Việt Nam phê chuẩn; </w:t>
            </w:r>
          </w:p>
          <w:p w14:paraId="7F180FFB"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b) Tổ chức sản xuất trang thiết bị tàu bay để lắp đặt trên tàu bay đăng ký quốc tịch Việt Nam.</w:t>
            </w:r>
          </w:p>
          <w:p w14:paraId="592A14E1"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2. Miễn trừ yêu cầu cấp Giấy chứng nhận tổ chức sản xuất đối với các tổ chức đã được Nhà chức trách hàng không nước ngoài quy định tại khoản 2 Điều 9 Nghị định này phê chuẩn để sản xuất các sản phẩm thuộc thiết kế loại do chính Nhà chức trách đó phê chuẩn.</w:t>
            </w:r>
          </w:p>
          <w:p w14:paraId="3E6FEFF4"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2. Theo phạm vi phê chuẩn đề nghị, tổ chức sản xuất phải đảm bảo các điều kiện sau:</w:t>
            </w:r>
          </w:p>
          <w:p w14:paraId="675532EA"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a) Có tổ chức bộ máy điều hành bao gồm giám đốc điều hành và các vị trí chủ chốt có đầy đủ năng lực, trình độ, kinh nghiệm, hiểu biết về hàng không dân dụng;</w:t>
            </w:r>
          </w:p>
          <w:p w14:paraId="4A8F1B97"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ab/>
              <w:t>b) Có cơ sở vật chất, trang thiết bị, nguồn nhân lực, hệ thống tài liệu hướng dẫn sản xuất bao gồm nội dung về giải trình tổ chức sản xuất, chương trình huấn luyện, giải trình năng lực;</w:t>
            </w:r>
          </w:p>
          <w:p w14:paraId="207C2C29" w14:textId="6F224EDD"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c) Có tài liệu hệ thống quản lý an toàn phù hợp với quy mô của tổ chức.</w:t>
            </w:r>
          </w:p>
        </w:tc>
      </w:tr>
      <w:tr w:rsidR="006421EA" w:rsidRPr="006421EA" w14:paraId="14992B3F" w14:textId="77777777" w:rsidTr="00056436">
        <w:tc>
          <w:tcPr>
            <w:tcW w:w="0" w:type="auto"/>
          </w:tcPr>
          <w:p w14:paraId="2874D166" w14:textId="10A5AD53" w:rsidR="0082370C"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Điều 52 khoản 3</w:t>
            </w:r>
          </w:p>
          <w:p w14:paraId="2491F61F" w14:textId="257CF032" w:rsidR="0082370C"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57 khoản 3</w:t>
            </w:r>
          </w:p>
          <w:p w14:paraId="00F558C8" w14:textId="2F42C8A5"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62 khoản 3</w:t>
            </w:r>
          </w:p>
        </w:tc>
        <w:tc>
          <w:tcPr>
            <w:tcW w:w="0" w:type="auto"/>
          </w:tcPr>
          <w:p w14:paraId="5F5B9DC3"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58C02904" w14:textId="43AE1CA0"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pacing w:val="-6"/>
                <w:sz w:val="24"/>
                <w:szCs w:val="24"/>
                <w:lang w:val="vi-VN"/>
              </w:rPr>
              <w:t>- Khoản 3 đề nghị không giao Bộ trưởng quy định các nội dung quy định chi tiết về điều kiện kinh doanh; tương tự như vậy tại khoản 3 Điều 57; khoản 3 Điều 62.</w:t>
            </w:r>
          </w:p>
        </w:tc>
        <w:tc>
          <w:tcPr>
            <w:tcW w:w="3864" w:type="dxa"/>
          </w:tcPr>
          <w:p w14:paraId="5EF26853" w14:textId="56F29392" w:rsidR="00F55491" w:rsidRPr="006421EA" w:rsidRDefault="00CE4B3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góp ý và cập nhật nội dung dự thảo</w:t>
            </w:r>
          </w:p>
        </w:tc>
      </w:tr>
      <w:tr w:rsidR="006421EA" w:rsidRPr="006421EA" w14:paraId="264D19EA" w14:textId="77777777" w:rsidTr="00056436">
        <w:tc>
          <w:tcPr>
            <w:tcW w:w="0" w:type="auto"/>
          </w:tcPr>
          <w:p w14:paraId="5F8A389F" w14:textId="29267A36"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53 khoản 4</w:t>
            </w:r>
          </w:p>
        </w:tc>
        <w:tc>
          <w:tcPr>
            <w:tcW w:w="0" w:type="auto"/>
          </w:tcPr>
          <w:p w14:paraId="54AB1E1A"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43AEAC54" w14:textId="2BE692D3"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16. Điều 53 khoản 4: đề nghị rà soát quy định về </w:t>
            </w:r>
            <w:r w:rsidRPr="006421EA">
              <w:rPr>
                <w:rFonts w:asciiTheme="majorHAnsi" w:hAnsiTheme="majorHAnsi" w:cstheme="majorHAnsi"/>
                <w:sz w:val="24"/>
                <w:szCs w:val="24"/>
              </w:rPr>
              <w:t>việc cho phép tổ chức bảo dưỡng thuê đơn vị ngoài chưa được phê chuẩn thực hiện một phần công việc bảo dưỡng</w:t>
            </w:r>
            <w:r w:rsidRPr="006421EA">
              <w:rPr>
                <w:rFonts w:asciiTheme="majorHAnsi" w:hAnsiTheme="majorHAnsi" w:cstheme="majorHAnsi"/>
                <w:sz w:val="24"/>
                <w:szCs w:val="24"/>
                <w:lang w:val="vi-VN"/>
              </w:rPr>
              <w:t xml:space="preserve"> để tránh các bất cập như</w:t>
            </w:r>
            <w:r w:rsidRPr="006421EA">
              <w:rPr>
                <w:rFonts w:asciiTheme="majorHAnsi" w:hAnsiTheme="majorHAnsi" w:cstheme="majorHAnsi"/>
                <w:sz w:val="24"/>
                <w:szCs w:val="24"/>
              </w:rPr>
              <w:t xml:space="preserve">: </w:t>
            </w:r>
            <w:r w:rsidRPr="006421EA">
              <w:rPr>
                <w:rFonts w:asciiTheme="majorHAnsi" w:hAnsiTheme="majorHAnsi" w:cstheme="majorHAnsi"/>
                <w:sz w:val="24"/>
                <w:szCs w:val="24"/>
                <w:lang w:val="vi-VN"/>
              </w:rPr>
              <w:t>(1) t</w:t>
            </w:r>
            <w:r w:rsidRPr="006421EA">
              <w:rPr>
                <w:rFonts w:asciiTheme="majorHAnsi" w:hAnsiTheme="majorHAnsi" w:cstheme="majorHAnsi"/>
                <w:sz w:val="24"/>
                <w:szCs w:val="24"/>
              </w:rPr>
              <w:t>ạo kẽ hở khi các đơn vị không có sự giám sát trực tiếp từ Cục Hàng không tham gia vào dây chuyền bảo dưỡng;</w:t>
            </w:r>
            <w:r w:rsidRPr="006421EA">
              <w:rPr>
                <w:rFonts w:asciiTheme="majorHAnsi" w:hAnsiTheme="majorHAnsi" w:cstheme="majorHAnsi"/>
                <w:sz w:val="24"/>
                <w:szCs w:val="24"/>
                <w:lang w:val="vi-VN"/>
              </w:rPr>
              <w:t xml:space="preserve"> (2) đ</w:t>
            </w:r>
            <w:r w:rsidRPr="006421EA">
              <w:rPr>
                <w:rFonts w:asciiTheme="majorHAnsi" w:hAnsiTheme="majorHAnsi" w:cstheme="majorHAnsi"/>
                <w:sz w:val="24"/>
                <w:szCs w:val="24"/>
              </w:rPr>
              <w:t xml:space="preserve">i ngược lại thông lệ quốc tế về việc kiểm soát chặt chẽ mọi mắt xích trong chuỗi cung ứng hàng không. </w:t>
            </w:r>
            <w:r w:rsidRPr="006421EA">
              <w:rPr>
                <w:rFonts w:asciiTheme="majorHAnsi" w:hAnsiTheme="majorHAnsi" w:cstheme="majorHAnsi"/>
                <w:sz w:val="24"/>
                <w:szCs w:val="24"/>
                <w:lang w:val="vi-VN"/>
              </w:rPr>
              <w:t>Theo đó, đ</w:t>
            </w:r>
            <w:r w:rsidRPr="006421EA">
              <w:rPr>
                <w:rFonts w:asciiTheme="majorHAnsi" w:hAnsiTheme="majorHAnsi" w:cstheme="majorHAnsi"/>
                <w:sz w:val="24"/>
                <w:szCs w:val="24"/>
              </w:rPr>
              <w:t>ề nghị sửa đổi theo hướng chỉ cho phép thuê ngoài đối với các hạng mục dịch vụ không trực tiếp ảnh hưởng đến an toàn bay.</w:t>
            </w:r>
          </w:p>
        </w:tc>
        <w:tc>
          <w:tcPr>
            <w:tcW w:w="3864" w:type="dxa"/>
          </w:tcPr>
          <w:p w14:paraId="1F15E709" w14:textId="18766D4F" w:rsidR="00F55491" w:rsidRPr="006421EA" w:rsidRDefault="00CE4B30"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Cơ quan soạn thảo đề xuất giữ nguyên nội dung dự thảo và giải trình như sau: trong thực tiễn bảo dưỡng hàng không toàn cầu (theo các tiêu chuẩn của ICAO, FAA Phần 145, EASA Phần 145), việc tổ chức bảo dưỡng đã được phê chuẩn (AMO) ký hợp đồng thuê các cá nhận, tổ chức chưa được phê chuẩn thực hiện một số công việc đặc thù (Ví dụ như mạ điện, hàn chuyên dụng, kiểm tra không phá huỷ) là điều phổ biến trên thế giới. Quy định này không tạo kẽ hở vì AMO phải mở rộng hệ thống quản lý chất lượng của mình để bao trùm và kiểm soát trực tiếp cơ sở thuê ngoài, đồng thời chịu trách nhiệm pháp lý cuối cùng và ký xác nhận đưa vào khai thác. Việc hạn chế quy định này sẽ gây khó khăn trong </w:t>
            </w:r>
            <w:r w:rsidRPr="006421EA">
              <w:rPr>
                <w:rFonts w:asciiTheme="majorHAnsi" w:hAnsiTheme="majorHAnsi" w:cstheme="majorHAnsi"/>
                <w:sz w:val="24"/>
                <w:szCs w:val="24"/>
                <w:lang w:val="vi-VN"/>
              </w:rPr>
              <w:lastRenderedPageBreak/>
              <w:t>thực tiễn hoạt động bảo dưỡng tàu bay, động cơ, cánh quạt và trang thiết bị tàu bay, ách tắc chuỗi cung ứng hàng không.</w:t>
            </w:r>
          </w:p>
        </w:tc>
      </w:tr>
      <w:tr w:rsidR="006421EA" w:rsidRPr="006421EA" w14:paraId="6ADAADE0" w14:textId="77777777" w:rsidTr="00056436">
        <w:tc>
          <w:tcPr>
            <w:tcW w:w="0" w:type="auto"/>
          </w:tcPr>
          <w:p w14:paraId="1FCD2C0F" w14:textId="351579BB"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lastRenderedPageBreak/>
              <w:t>Điều 55 khoản 2</w:t>
            </w:r>
          </w:p>
        </w:tc>
        <w:tc>
          <w:tcPr>
            <w:tcW w:w="0" w:type="auto"/>
          </w:tcPr>
          <w:p w14:paraId="1D200089"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6FC14D60" w14:textId="00DA47A5"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17. Điều 55 khoản 2 đề nghị rà soát để các tài liệu phù hợp với điều kiện kinh doanh quy định tại khoản 2 Điều 52.</w:t>
            </w:r>
          </w:p>
        </w:tc>
        <w:tc>
          <w:tcPr>
            <w:tcW w:w="3864" w:type="dxa"/>
          </w:tcPr>
          <w:p w14:paraId="011A2A09" w14:textId="77777777" w:rsidR="00F55491" w:rsidRPr="006421EA" w:rsidRDefault="00EE6E6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góp ý và cập nhật nội dung dự thảo</w:t>
            </w:r>
          </w:p>
          <w:p w14:paraId="7C7EEF86" w14:textId="77777777" w:rsidR="00EE6E64" w:rsidRPr="006421EA" w:rsidRDefault="00EE6E64" w:rsidP="006421EA">
            <w:pPr>
              <w:spacing w:before="120" w:after="120"/>
              <w:rPr>
                <w:rFonts w:asciiTheme="majorHAnsi" w:hAnsiTheme="majorHAnsi" w:cstheme="majorHAnsi"/>
                <w:sz w:val="24"/>
                <w:szCs w:val="24"/>
                <w:lang w:val="vi-VN"/>
              </w:rPr>
            </w:pPr>
          </w:p>
          <w:p w14:paraId="277A346B" w14:textId="77777777" w:rsidR="00EE6E64" w:rsidRPr="006421EA" w:rsidRDefault="00EE6E6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2. Hồ sơ đề nghị cấp Giấy chứng nhận tổ chức bảo dưỡng, bao gồm:</w:t>
            </w:r>
          </w:p>
          <w:p w14:paraId="1639A85E" w14:textId="77777777" w:rsidR="00EE6E64" w:rsidRPr="006421EA" w:rsidRDefault="00EE6E6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a) Đơn đề nghị cấp Giấy chứng nhận tổ chức bảo dưỡng theo Mẫu số 16 Phụ lục ban hành kèm theo Nghị định này;</w:t>
            </w:r>
          </w:p>
          <w:p w14:paraId="3CFCDA2B" w14:textId="77777777" w:rsidR="00EE6E64" w:rsidRPr="006421EA" w:rsidRDefault="00EE6E6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b) Bản chính hoặc bản sao hoặc bản sao điện tử hệ thống tài liệu hướng dẫn bảo dưỡng, quản lý bảo dưỡng bao gồm nội dung về giải trình tổ chức bảo dưỡng, chương trình huấn luyện, giải trình năng lực;</w:t>
            </w:r>
          </w:p>
          <w:p w14:paraId="4B4A6A0E" w14:textId="77777777" w:rsidR="00EE6E64" w:rsidRPr="006421EA" w:rsidRDefault="00EE6E6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c) Bản chính hoặc bản sao hoặc bản sao điện tử tài liệu hệ thống quản lý an toàn;</w:t>
            </w:r>
          </w:p>
          <w:p w14:paraId="00D36B0A" w14:textId="77777777" w:rsidR="00EE6E64" w:rsidRPr="006421EA" w:rsidRDefault="00EE6E6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b/>
              <w:t>d) Bản chính hoặc bản sao hoặc bản sao điện tử hồ sơ nhân sự điều hành;</w:t>
            </w:r>
          </w:p>
          <w:p w14:paraId="65C25242" w14:textId="49BE0AD7" w:rsidR="00EE6E64" w:rsidRPr="006421EA" w:rsidRDefault="00EE6E6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 </w:t>
            </w:r>
            <w:r w:rsidRPr="006421EA">
              <w:rPr>
                <w:rFonts w:asciiTheme="majorHAnsi" w:hAnsiTheme="majorHAnsi" w:cstheme="majorHAnsi"/>
                <w:sz w:val="24"/>
                <w:szCs w:val="24"/>
                <w:lang w:val="vi-VN"/>
              </w:rPr>
              <w:tab/>
              <w:t>đ) Bản chính hoặc bản sao hoặc bản sao điện tử danh sách nhân viên hàng không;</w:t>
            </w:r>
          </w:p>
        </w:tc>
      </w:tr>
      <w:tr w:rsidR="006421EA" w:rsidRPr="006421EA" w14:paraId="3C0185BF" w14:textId="77777777" w:rsidTr="00056436">
        <w:tc>
          <w:tcPr>
            <w:tcW w:w="0" w:type="auto"/>
          </w:tcPr>
          <w:p w14:paraId="0AB5E94D" w14:textId="00C7264A"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lastRenderedPageBreak/>
              <w:t>Điều 62 khoản 1</w:t>
            </w:r>
          </w:p>
        </w:tc>
        <w:tc>
          <w:tcPr>
            <w:tcW w:w="0" w:type="auto"/>
          </w:tcPr>
          <w:p w14:paraId="7FC3D2EF"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3D486D5F" w14:textId="77777777" w:rsidR="00F55491" w:rsidRPr="006421EA" w:rsidRDefault="00F55491" w:rsidP="006421EA">
            <w:pPr>
              <w:spacing w:before="120" w:after="120"/>
              <w:jc w:val="both"/>
              <w:rPr>
                <w:rFonts w:asciiTheme="majorHAnsi" w:hAnsiTheme="majorHAnsi" w:cstheme="majorHAnsi"/>
                <w:i/>
                <w:sz w:val="24"/>
                <w:szCs w:val="24"/>
                <w:lang w:val="vi-VN"/>
              </w:rPr>
            </w:pPr>
            <w:r w:rsidRPr="006421EA">
              <w:rPr>
                <w:rFonts w:asciiTheme="majorHAnsi" w:hAnsiTheme="majorHAnsi" w:cstheme="majorHAnsi"/>
                <w:sz w:val="24"/>
                <w:szCs w:val="24"/>
                <w:lang w:val="vi-VN"/>
              </w:rPr>
              <w:t xml:space="preserve">18. Điều 62 khoản 1 đề nghị tách khoản như sau để đảm bảo ngôn ngữ quy phạm pháp luật: </w:t>
            </w:r>
            <w:r w:rsidRPr="006421EA">
              <w:rPr>
                <w:rFonts w:asciiTheme="majorHAnsi" w:hAnsiTheme="majorHAnsi" w:cstheme="majorHAnsi"/>
                <w:i/>
                <w:sz w:val="24"/>
                <w:szCs w:val="24"/>
                <w:lang w:val="vi-VN"/>
              </w:rPr>
              <w:t>“1. Tổ chức sản xuất tàu bay, động cơ tàu bay, cánh quạt tàu bay và trang thiết bị tàu bay phải được Cục Hàng không Việt Nam cấp Giấy chứng nhận tổ chức sản xuất, trừ trường hợp quy định tại khoản 2 Điều này. Các đối tượng phải cấp giấy chứng nhận bao gồm: a) Tổ chức sản xuất tàu bay, động cơ tàu bay, cánh quạt tàu bay và trang thiết bị tàu bay theo thiết kế loại đã được Cục Hàng không Việt Nam phê chuẩn; b) Tổ chức sản xuất trang thiết bị tàu bay để lắp đặt trên tàu bay đăng ký quốc tịch Việt Nam.</w:t>
            </w:r>
          </w:p>
          <w:p w14:paraId="16802239" w14:textId="1E98A71C"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i/>
                <w:sz w:val="24"/>
                <w:szCs w:val="24"/>
                <w:lang w:val="vi-VN"/>
              </w:rPr>
              <w:t>2. Miễn trừ yêu cầu cấp Giấy chứng nhận tổ chức sản xuất đối với các tổ chức đã được Nhà chức trách hàng không nước ngoài quy định tại khoản 2 Điều 9 Nghị định này phê chuẩn để sản xuất các sản phẩm thuộc thiết kế loại do chính Nhà chức trách đó phê chuẩn.”.</w:t>
            </w:r>
          </w:p>
        </w:tc>
        <w:tc>
          <w:tcPr>
            <w:tcW w:w="3864" w:type="dxa"/>
          </w:tcPr>
          <w:p w14:paraId="7328349E" w14:textId="77777777" w:rsidR="00F55491"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Tiếp thu ý kiến góp ý và cập nhật nội dung dự thảo </w:t>
            </w:r>
          </w:p>
          <w:p w14:paraId="6C975F3D" w14:textId="77777777" w:rsidR="00884D6C" w:rsidRPr="006421EA" w:rsidRDefault="00884D6C" w:rsidP="006421EA">
            <w:pPr>
              <w:spacing w:before="120" w:after="120"/>
              <w:rPr>
                <w:rFonts w:asciiTheme="majorHAnsi" w:hAnsiTheme="majorHAnsi" w:cstheme="majorHAnsi"/>
                <w:sz w:val="24"/>
                <w:szCs w:val="24"/>
                <w:lang w:val="vi-VN"/>
              </w:rPr>
            </w:pPr>
          </w:p>
          <w:p w14:paraId="438B826E" w14:textId="78720D8A" w:rsidR="00884D6C" w:rsidRPr="006421EA" w:rsidRDefault="00884D6C" w:rsidP="006421EA">
            <w:pPr>
              <w:spacing w:before="120" w:after="120"/>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Điều 64. Yêu cầu đối với tổ chức sản xuất</w:t>
            </w:r>
          </w:p>
          <w:p w14:paraId="57D56444"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1. Tổ chức sản xuất tàu bay, động cơ tàu bay, cánh quạt tàu bay và trang thiết bị tàu bay phải được Cục Hàng không Việt Nam cấp Giấy chứng nhận tổ chức sản xuất, trừ trường hợp quy định tại khoản 2 Điều này. Các đối tượng phải cấp giấy chứng nhận bao gồm: </w:t>
            </w:r>
          </w:p>
          <w:p w14:paraId="307462F7"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a) Tổ chức sản xuất tàu bay, động cơ tàu bay, cánh quạt tàu bay và trang thiết bị tàu bay theo thiết kế loại đã được Cục Hàng không Việt Nam phê chuẩn; </w:t>
            </w:r>
          </w:p>
          <w:p w14:paraId="7C056489" w14:textId="77777777"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b) Tổ chức sản xuất trang thiết bị tàu bay để lắp đặt trên tàu bay đăng ký quốc tịch Việt Nam.</w:t>
            </w:r>
          </w:p>
          <w:p w14:paraId="4CADA0E0" w14:textId="75EECE8F" w:rsidR="00884D6C" w:rsidRPr="006421EA" w:rsidRDefault="00884D6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2. Miễn trừ yêu cầu cấp Giấy chứng nhận tổ chức sản xuất đối với các tổ chức đã được Nhà chức trách hàng không nước ngoài quy định tại khoản 2 Điều 9 Nghị định này phê chuẩn để sản xuất các sản phẩm thuộc thiết kế loại do chính Nhà chức trách đó phê chuẩn.</w:t>
            </w:r>
          </w:p>
        </w:tc>
      </w:tr>
      <w:tr w:rsidR="006421EA" w:rsidRPr="006421EA" w14:paraId="7C2F0E26" w14:textId="77777777" w:rsidTr="00056436">
        <w:tc>
          <w:tcPr>
            <w:tcW w:w="0" w:type="auto"/>
          </w:tcPr>
          <w:p w14:paraId="7E3F26C0" w14:textId="272B9B5D"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pacing w:val="-2"/>
                <w:sz w:val="24"/>
                <w:szCs w:val="24"/>
                <w:lang w:val="vi-VN"/>
              </w:rPr>
              <w:lastRenderedPageBreak/>
              <w:t>Điều 67 khoản 2</w:t>
            </w:r>
          </w:p>
        </w:tc>
        <w:tc>
          <w:tcPr>
            <w:tcW w:w="0" w:type="auto"/>
          </w:tcPr>
          <w:p w14:paraId="57BE8558"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430E599C" w14:textId="2612C8D8"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pacing w:val="-2"/>
                <w:sz w:val="24"/>
                <w:szCs w:val="24"/>
                <w:lang w:val="vi-VN"/>
              </w:rPr>
              <w:t>19. Điều 67 khoản 2: đ</w:t>
            </w:r>
            <w:r w:rsidRPr="006421EA">
              <w:rPr>
                <w:rFonts w:asciiTheme="majorHAnsi" w:hAnsiTheme="majorHAnsi" w:cstheme="majorHAnsi"/>
                <w:spacing w:val="-2"/>
                <w:sz w:val="24"/>
                <w:szCs w:val="24"/>
              </w:rPr>
              <w:t xml:space="preserve">ề nghị rà soát và cụ thể hóa nội dung </w:t>
            </w:r>
            <w:r w:rsidRPr="006421EA">
              <w:rPr>
                <w:rFonts w:asciiTheme="majorHAnsi" w:hAnsiTheme="majorHAnsi" w:cstheme="majorHAnsi"/>
                <w:spacing w:val="-2"/>
                <w:sz w:val="24"/>
                <w:szCs w:val="24"/>
                <w:lang w:val="vi-VN"/>
              </w:rPr>
              <w:t>khoản này</w:t>
            </w:r>
            <w:r w:rsidRPr="006421EA">
              <w:rPr>
                <w:rFonts w:asciiTheme="majorHAnsi" w:hAnsiTheme="majorHAnsi" w:cstheme="majorHAnsi"/>
                <w:spacing w:val="-2"/>
                <w:sz w:val="24"/>
                <w:szCs w:val="24"/>
              </w:rPr>
              <w:t xml:space="preserve"> để đảm bảo tính thống nhất và khả thi so với Điều 9 Luật Hàng không dân dụng. Việc quy định Bộ Xây dựng </w:t>
            </w:r>
            <w:r w:rsidRPr="006421EA">
              <w:rPr>
                <w:rFonts w:asciiTheme="majorHAnsi" w:hAnsiTheme="majorHAnsi" w:cstheme="majorHAnsi"/>
                <w:spacing w:val="-2"/>
                <w:sz w:val="24"/>
                <w:szCs w:val="24"/>
                <w:lang w:val="vi-VN"/>
              </w:rPr>
              <w:t>“</w:t>
            </w:r>
            <w:r w:rsidRPr="006421EA">
              <w:rPr>
                <w:rFonts w:asciiTheme="majorHAnsi" w:hAnsiTheme="majorHAnsi" w:cstheme="majorHAnsi"/>
                <w:spacing w:val="-2"/>
                <w:sz w:val="24"/>
                <w:szCs w:val="24"/>
              </w:rPr>
              <w:t>tổ chức thực hiện các biện pháp quản lý</w:t>
            </w:r>
            <w:r w:rsidRPr="006421EA">
              <w:rPr>
                <w:rFonts w:asciiTheme="majorHAnsi" w:hAnsiTheme="majorHAnsi" w:cstheme="majorHAnsi"/>
                <w:spacing w:val="-2"/>
                <w:sz w:val="24"/>
                <w:szCs w:val="24"/>
                <w:lang w:val="vi-VN"/>
              </w:rPr>
              <w:t>”</w:t>
            </w:r>
            <w:r w:rsidRPr="006421EA">
              <w:rPr>
                <w:rFonts w:asciiTheme="majorHAnsi" w:hAnsiTheme="majorHAnsi" w:cstheme="majorHAnsi"/>
                <w:spacing w:val="-2"/>
                <w:sz w:val="24"/>
                <w:szCs w:val="24"/>
              </w:rPr>
              <w:t xml:space="preserve"> là quá chung chung, chưa phân định rõ các nhiệm vụ cụ thể như: ban hành quy chuẩn kỹ thuật về phát thải, kiểm soát tiếng ồn tàu bay, hay thiết lập hệ thống hạn ngạch phát thải.</w:t>
            </w:r>
          </w:p>
        </w:tc>
        <w:tc>
          <w:tcPr>
            <w:tcW w:w="3864" w:type="dxa"/>
          </w:tcPr>
          <w:p w14:paraId="01665C8F" w14:textId="77777777" w:rsidR="00D6697C" w:rsidRPr="006421EA" w:rsidRDefault="00D6697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cập nhật nội dung dự thảo khoản 2 Điều 67</w:t>
            </w:r>
          </w:p>
          <w:p w14:paraId="54C48965" w14:textId="1D026EEE" w:rsidR="00D6697C" w:rsidRPr="006421EA" w:rsidRDefault="00D6697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br/>
              <w:t>2.  Bộ Xây dựng tổ chức thực hiện các biện pháp quản lý và giảm phát thải khí nhà kính trong hoạt động hàng không dân dụng, bao gồm:</w:t>
            </w:r>
          </w:p>
          <w:p w14:paraId="12D7BC97" w14:textId="77777777" w:rsidR="00D6697C" w:rsidRPr="006421EA" w:rsidRDefault="00D6697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 Tổ chức xây dựng và triển khai hệ thống kiểm kê, giám sát, báo cáo và thẩm tra (MRV) đối với phát thải khí nhà kính trong hoạt động hàng không dân dụng;</w:t>
            </w:r>
          </w:p>
          <w:p w14:paraId="796A989C" w14:textId="77777777" w:rsidR="00D6697C" w:rsidRPr="006421EA" w:rsidRDefault="00D6697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b) Quản lý, kiểm soát việc tuân thủ các quy định về phát thải và tiếng ồn tàu bay; tổ chức thanh tra, kiểm tra theo thẩm quyền;</w:t>
            </w:r>
          </w:p>
          <w:p w14:paraId="096D9BE0" w14:textId="77777777" w:rsidR="00D6697C" w:rsidRPr="006421EA" w:rsidRDefault="00D6697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c) Tổ chức thực hiện và hướng dẫn triển khai các cơ chế, chương trình giảm và bù đắp phát thải khí nhà kính trong hàng không quốc tế theo quy định của pháp luật và điều ước quốc tế;</w:t>
            </w:r>
          </w:p>
          <w:p w14:paraId="18908AF1" w14:textId="4D0195F3" w:rsidR="00353676" w:rsidRPr="006421EA" w:rsidRDefault="00D6697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d) Xây dựng, hướng dẫn và thúc đẩy áp dụng các giải pháp sử dụng năng lượng tiết kiệm, hiệu quả và sử dụng nhiên liệu hàng không bền vững (SAF) trong hoạt động hàng không dân dụng.</w:t>
            </w:r>
          </w:p>
        </w:tc>
      </w:tr>
      <w:tr w:rsidR="006421EA" w:rsidRPr="006421EA" w14:paraId="2BB34B32" w14:textId="77777777" w:rsidTr="00056436">
        <w:tc>
          <w:tcPr>
            <w:tcW w:w="0" w:type="auto"/>
          </w:tcPr>
          <w:p w14:paraId="25A8B29E" w14:textId="70CB894F"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Chương IX</w:t>
            </w:r>
          </w:p>
        </w:tc>
        <w:tc>
          <w:tcPr>
            <w:tcW w:w="0" w:type="auto"/>
          </w:tcPr>
          <w:p w14:paraId="53D92BD7"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4D73CC25" w14:textId="3B1DF9ED"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20. Đối với quy định về chuyên cơ, đề nghị rà soát để xác định đây là nội dung quy đinh chi tiết hay </w:t>
            </w:r>
            <w:r w:rsidRPr="006421EA">
              <w:rPr>
                <w:rFonts w:asciiTheme="majorHAnsi" w:hAnsiTheme="majorHAnsi" w:cstheme="majorHAnsi"/>
                <w:sz w:val="24"/>
                <w:szCs w:val="24"/>
                <w:lang w:val="vi-VN"/>
              </w:rPr>
              <w:lastRenderedPageBreak/>
              <w:t>thuộc biện pháp quản lý nhà nước để bổ sung thành phần hồ sơ cho phù hợp.</w:t>
            </w:r>
          </w:p>
        </w:tc>
        <w:tc>
          <w:tcPr>
            <w:tcW w:w="3864" w:type="dxa"/>
          </w:tcPr>
          <w:p w14:paraId="0D68E099" w14:textId="6BFE2D2F" w:rsidR="00C61894" w:rsidRPr="006421EA" w:rsidRDefault="00E058D1"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lastRenderedPageBreak/>
              <w:t>Tiếp thu và giải trình như sau:</w:t>
            </w:r>
          </w:p>
          <w:p w14:paraId="6DA3EDE8" w14:textId="562D9954" w:rsidR="00C61894" w:rsidRPr="006421EA" w:rsidRDefault="00C61894"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rPr>
              <w:t xml:space="preserve">Đây là nội dung quy định chi tiết theo </w:t>
            </w:r>
            <w:r w:rsidRPr="006421EA">
              <w:rPr>
                <w:rFonts w:asciiTheme="majorHAnsi" w:hAnsiTheme="majorHAnsi" w:cstheme="majorHAnsi"/>
                <w:sz w:val="24"/>
                <w:szCs w:val="24"/>
              </w:rPr>
              <w:lastRenderedPageBreak/>
              <w:t>điểm i) khoản 1 Điều 99 Luật HKDD.</w:t>
            </w:r>
          </w:p>
          <w:p w14:paraId="6E6B76A3" w14:textId="70328DAA" w:rsidR="001163DA" w:rsidRPr="006421EA" w:rsidRDefault="001163DA" w:rsidP="006421EA">
            <w:pPr>
              <w:spacing w:before="120" w:after="120"/>
              <w:rPr>
                <w:rFonts w:asciiTheme="majorHAnsi" w:hAnsiTheme="majorHAnsi" w:cstheme="majorHAnsi"/>
                <w:sz w:val="24"/>
                <w:szCs w:val="24"/>
                <w:lang w:val="vi-VN"/>
              </w:rPr>
            </w:pPr>
          </w:p>
        </w:tc>
      </w:tr>
      <w:tr w:rsidR="006421EA" w:rsidRPr="006421EA" w14:paraId="07B69726" w14:textId="77777777" w:rsidTr="00056436">
        <w:tc>
          <w:tcPr>
            <w:tcW w:w="0" w:type="auto"/>
          </w:tcPr>
          <w:p w14:paraId="23C41405" w14:textId="4B71A57D"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Điều 79 khoản 1, khoản 2</w:t>
            </w:r>
          </w:p>
        </w:tc>
        <w:tc>
          <w:tcPr>
            <w:tcW w:w="0" w:type="auto"/>
          </w:tcPr>
          <w:p w14:paraId="3440D484"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3625977B" w14:textId="27E3B5F7" w:rsidR="00F55491" w:rsidRPr="006421EA" w:rsidRDefault="0082370C"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21. Điều 79 khoản 1, khoản 2: đề nghị gộp chung thành 01 khoản giao trách nhiệm cho Bộ trưởng Bộ Xây dựng.</w:t>
            </w:r>
          </w:p>
        </w:tc>
        <w:tc>
          <w:tcPr>
            <w:tcW w:w="3864" w:type="dxa"/>
          </w:tcPr>
          <w:p w14:paraId="5B31271E" w14:textId="56CDB147" w:rsidR="00F55491" w:rsidRPr="006421EA" w:rsidRDefault="00196EB6"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cập nhật nội dung dự thảo</w:t>
            </w:r>
          </w:p>
        </w:tc>
      </w:tr>
      <w:tr w:rsidR="006421EA" w:rsidRPr="006421EA" w14:paraId="0984964D" w14:textId="77777777" w:rsidTr="00056436">
        <w:tc>
          <w:tcPr>
            <w:tcW w:w="0" w:type="auto"/>
          </w:tcPr>
          <w:p w14:paraId="7052CA6A" w14:textId="540889FE"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t>Điều 81 khoản 2</w:t>
            </w:r>
          </w:p>
        </w:tc>
        <w:tc>
          <w:tcPr>
            <w:tcW w:w="0" w:type="auto"/>
          </w:tcPr>
          <w:p w14:paraId="332C307B"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414CAEC8" w14:textId="560B3739"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22. Điều 81 khoản 2 điểm d: đề nghị cơ quan soạn thảo rà soát với 04 Nghị định quy định chi tiết Luật HKDDVN 2025 để thực hiện việc bãi bỏ toàn bộ Nghị định 92/2016/NĐ-CP chỉ trong 01 dự thảo Nghị định.</w:t>
            </w:r>
          </w:p>
        </w:tc>
        <w:tc>
          <w:tcPr>
            <w:tcW w:w="3864" w:type="dxa"/>
          </w:tcPr>
          <w:p w14:paraId="35DA0F2A" w14:textId="3B1DF4E4" w:rsidR="00F55491" w:rsidRPr="006421EA" w:rsidRDefault="00196EB6"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cập nhật nội dung dự thảo, quy định bãi bỏ Nghị định 92/2016 được thống nhất quy định tại Nghị định về cảng hàng không và bãi cất, hạ cánh</w:t>
            </w:r>
          </w:p>
        </w:tc>
      </w:tr>
      <w:tr w:rsidR="006421EA" w:rsidRPr="006421EA" w14:paraId="7F553A4B" w14:textId="77777777" w:rsidTr="00056436">
        <w:tc>
          <w:tcPr>
            <w:tcW w:w="0" w:type="auto"/>
          </w:tcPr>
          <w:p w14:paraId="6EF795D3" w14:textId="7AE66EE7"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lang w:val="vi-VN"/>
              </w:rPr>
              <w:t>Điều 81 khoản 3</w:t>
            </w:r>
          </w:p>
        </w:tc>
        <w:tc>
          <w:tcPr>
            <w:tcW w:w="0" w:type="auto"/>
          </w:tcPr>
          <w:p w14:paraId="2B3BB31E"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2C535C4B" w14:textId="621E1541"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Khoản 3: đề nghị nghiên cứu không giao Bộ trưởng Bộ Xây dựng quy định chi tiết các nội dung điều khoản của Nghị định này để tránh việc ủy quyền lập pháp và đảm bảo Kết luận số 09-KL/TW ngày 10/3/2026 của Ban Chấp hành Trung ương về hoàn thiện cấu trúc hệ thống pháp luật VN đáp ứng yêu cầu phát triển đất nước trong kỷ nguyên mới.</w:t>
            </w:r>
          </w:p>
        </w:tc>
        <w:tc>
          <w:tcPr>
            <w:tcW w:w="3864" w:type="dxa"/>
          </w:tcPr>
          <w:p w14:paraId="15086D49" w14:textId="7E69E556" w:rsidR="00F55491" w:rsidRPr="006421EA" w:rsidRDefault="00E5745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cập nhật nội dung dự thảo</w:t>
            </w:r>
          </w:p>
        </w:tc>
      </w:tr>
      <w:tr w:rsidR="006421EA" w:rsidRPr="006421EA" w14:paraId="6DC2360F" w14:textId="77777777" w:rsidTr="00056436">
        <w:tc>
          <w:tcPr>
            <w:tcW w:w="0" w:type="auto"/>
          </w:tcPr>
          <w:p w14:paraId="252B516B" w14:textId="3D3586D0"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9</w:t>
            </w:r>
          </w:p>
        </w:tc>
        <w:tc>
          <w:tcPr>
            <w:tcW w:w="0" w:type="auto"/>
          </w:tcPr>
          <w:p w14:paraId="09DF4260"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513B0EEA" w14:textId="77777777" w:rsidR="00F55491" w:rsidRPr="006421EA" w:rsidRDefault="00F55491" w:rsidP="006421EA">
            <w:pPr>
              <w:pStyle w:val="NormalWeb"/>
              <w:spacing w:before="120"/>
              <w:jc w:val="both"/>
              <w:rPr>
                <w:rFonts w:asciiTheme="majorHAnsi" w:hAnsiTheme="majorHAnsi" w:cstheme="majorHAnsi"/>
                <w:b/>
                <w:lang w:val="vi-VN"/>
              </w:rPr>
            </w:pPr>
            <w:r w:rsidRPr="006421EA">
              <w:rPr>
                <w:rFonts w:asciiTheme="majorHAnsi" w:hAnsiTheme="majorHAnsi" w:cstheme="majorHAnsi"/>
                <w:b/>
                <w:lang w:val="vi-VN"/>
              </w:rPr>
              <w:t>III. Về các nội dung khác</w:t>
            </w:r>
          </w:p>
          <w:p w14:paraId="550221CF" w14:textId="61B7FE26" w:rsidR="00F55491" w:rsidRPr="006421EA" w:rsidRDefault="00F55491"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1. Về chủ trương phân cấp: đề nghị cơ quan chủ trì soạn thảo nghiên cứu, rà soát toàn diện các quy định về thủ tục hành chính tại dự thảo Nghị định để thực hiện phân cấp triệt để thẩm quyền cho Cục Hàng không Việt Nam (Điều 9..) để đảm bảo tính thống nhất, đồng bộ với chức năng quản lý nhà nước chuyên ngành của Cục quản lý chuyên ngành, rút ngắn quy trình phối hợp trung gian, giúp doanh nghiệp tiếp cận thị trường nhanh chóng, hiệu quả, phù hợp với tinh thần cải cách hành </w:t>
            </w:r>
            <w:r w:rsidRPr="006421EA">
              <w:rPr>
                <w:rFonts w:asciiTheme="majorHAnsi" w:hAnsiTheme="majorHAnsi" w:cstheme="majorHAnsi"/>
                <w:sz w:val="24"/>
                <w:szCs w:val="24"/>
                <w:lang w:val="vi-VN"/>
              </w:rPr>
              <w:lastRenderedPageBreak/>
              <w:t>chính.</w:t>
            </w:r>
          </w:p>
        </w:tc>
        <w:tc>
          <w:tcPr>
            <w:tcW w:w="3864" w:type="dxa"/>
          </w:tcPr>
          <w:p w14:paraId="4DD7E03C" w14:textId="460DE112" w:rsidR="00E57454" w:rsidRPr="006421EA" w:rsidRDefault="00E5745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Cơ quan soạn thảo đã thực hiện phân cấp triệt để. Toàn bộ các thủ tục hành chính đều được giao trực tiếp cho Cục Hàng không Việt Nam tiếp nhận, thẩm định và phê chuẩn, đáp ứng đúng tinh thần cải cách hành chính.</w:t>
            </w:r>
          </w:p>
        </w:tc>
      </w:tr>
      <w:tr w:rsidR="006421EA" w:rsidRPr="006421EA" w14:paraId="718CA179" w14:textId="77777777" w:rsidTr="006421EA">
        <w:tc>
          <w:tcPr>
            <w:tcW w:w="0" w:type="auto"/>
          </w:tcPr>
          <w:p w14:paraId="3DAEB0F1"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71C6F387"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29C21D4E" w14:textId="77777777" w:rsidR="00F55491" w:rsidRPr="006421EA" w:rsidRDefault="00F55491" w:rsidP="006421EA">
            <w:pPr>
              <w:pStyle w:val="NormalWeb"/>
              <w:spacing w:before="120"/>
              <w:jc w:val="both"/>
              <w:rPr>
                <w:rFonts w:asciiTheme="majorHAnsi" w:hAnsiTheme="majorHAnsi" w:cstheme="majorHAnsi"/>
                <w:lang w:val="vi-VN"/>
              </w:rPr>
            </w:pPr>
            <w:r w:rsidRPr="006421EA">
              <w:rPr>
                <w:rFonts w:asciiTheme="majorHAnsi" w:hAnsiTheme="majorHAnsi" w:cstheme="majorHAnsi"/>
                <w:lang w:val="vi-VN"/>
              </w:rPr>
              <w:t>2. Về các thủ tục hành chính:</w:t>
            </w:r>
          </w:p>
          <w:p w14:paraId="7879640C" w14:textId="16EAF8E1" w:rsidR="00F55491" w:rsidRPr="006421EA" w:rsidRDefault="00F55491" w:rsidP="006421EA">
            <w:pPr>
              <w:pStyle w:val="NormalWeb"/>
              <w:spacing w:before="120"/>
              <w:jc w:val="both"/>
              <w:rPr>
                <w:rFonts w:asciiTheme="majorHAnsi" w:hAnsiTheme="majorHAnsi" w:cstheme="majorHAnsi"/>
                <w:b/>
                <w:lang w:val="vi-VN"/>
              </w:rPr>
            </w:pPr>
            <w:r w:rsidRPr="006421EA">
              <w:rPr>
                <w:rFonts w:asciiTheme="majorHAnsi" w:hAnsiTheme="majorHAnsi" w:cstheme="majorHAnsi"/>
                <w:lang w:val="vi-VN"/>
              </w:rPr>
              <w:t>2.1. Dự thảo Nghị định có nhiều thủ tục liên quan đến công nhận và phê chuẩn, nhưng chưa phận đỉnh rõ tiêu chí áp dụng cho các hình thức này đối với từng thủ tục hành chính. Do đó, đề nghị bổ sung quy định cụ thể về đối tượng áp dụng và danh mục hồ sơ riêng biệt cho từng loại hình tại các điều khoản liên quan, đồng thời chuẩn hóa mẫu đơn đăng ký để người dân và doanh nghiệp dễ dàng xác định phương thức thực hiện, đảm bảo tính minh bạch và phù hợp với thông lệ quốc tế của ICAO.</w:t>
            </w:r>
          </w:p>
        </w:tc>
        <w:tc>
          <w:tcPr>
            <w:tcW w:w="3864" w:type="dxa"/>
          </w:tcPr>
          <w:p w14:paraId="5764A310" w14:textId="77777777" w:rsidR="00E13518" w:rsidRPr="006421EA" w:rsidRDefault="00C51FC4" w:rsidP="006421EA">
            <w:pPr>
              <w:spacing w:before="120" w:after="120"/>
              <w:jc w:val="both"/>
              <w:rPr>
                <w:rFonts w:asciiTheme="majorHAnsi" w:hAnsiTheme="majorHAnsi" w:cstheme="majorHAnsi"/>
                <w:sz w:val="24"/>
                <w:szCs w:val="24"/>
              </w:rPr>
            </w:pPr>
            <w:r w:rsidRPr="006421EA">
              <w:rPr>
                <w:rFonts w:asciiTheme="majorHAnsi" w:hAnsiTheme="majorHAnsi" w:cstheme="majorHAnsi"/>
                <w:sz w:val="24"/>
                <w:szCs w:val="24"/>
                <w:lang w:val="vi-VN"/>
              </w:rPr>
              <w:t xml:space="preserve">Cơ quan chủ trì soạn thảo xin giải trình như sau: </w:t>
            </w:r>
          </w:p>
          <w:p w14:paraId="65382059" w14:textId="2526AA6B" w:rsidR="00C51FC4" w:rsidRPr="006421EA" w:rsidRDefault="00C51FC4"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dự thảo Nghị định có sử dụng các hình thức phê chuẩn và công nhận đối với một số thủ tục hành chính khác nhau. Việc phân biệt giữa hai hình thức này chủ yếu xuất phát từ tính chất và kỹ thuật đánh giá của Nhà chức trách hàng không Việt Nam trong quá trình xem xét hồ sơ, không phải từ sự khác biệt cơ bản về thành phần hồ sơ đối với cùng một nhóm đối tượng.</w:t>
            </w:r>
          </w:p>
          <w:p w14:paraId="22AC7406" w14:textId="77777777" w:rsidR="00C51FC4" w:rsidRPr="006421EA" w:rsidRDefault="00C51FC4"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Theo đó, đối với trường hợp phê chuẩn, Nhà chức trách hàng không Việt Nam trực tiếp xem xét, đánh giá và ra quyết định đối với đối tượng thuộc phạm vi quản lý, giám sát của mình; còn đối với trường hợp công nhận, Nhà chức trách hàng không Việt Nam xem xét chấp nhận để sử dụng hoặc làm căn cứ quản lý tại Việt Nam đối với đối tượng đã được cơ quan, tổ chức có thẩm quyền nước ngoài ban hành, cấp hoặc xác lập hợp lệ.</w:t>
            </w:r>
          </w:p>
          <w:p w14:paraId="640010AD" w14:textId="0F07D778" w:rsidR="00F55491" w:rsidRPr="006421EA" w:rsidRDefault="00C51FC4"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Về cơ bản, thành phần hồ sơ đối với thủ tục công nhận và phê chuẩn được áp dụng thống nhất theo từng nhóm đối tượng, nhằm bảo đảm thuận lợi cho tổ chức, cá nhân trong quá trình chuẩn bị hồ sơ và thực hiện thủ tục hành chính. Sự khác biệt chủ yếu nằm </w:t>
            </w:r>
            <w:r w:rsidRPr="006421EA">
              <w:rPr>
                <w:rFonts w:asciiTheme="majorHAnsi" w:hAnsiTheme="majorHAnsi" w:cstheme="majorHAnsi"/>
                <w:sz w:val="24"/>
                <w:szCs w:val="24"/>
                <w:lang w:val="vi-VN"/>
              </w:rPr>
              <w:lastRenderedPageBreak/>
              <w:t>ở phương pháp, phạm vi và mức độ đánh giá của Nhà chức trách hàng không Việt Nam khi xem xét hồ sơ trong từng trường hợp cụ thể.</w:t>
            </w:r>
          </w:p>
        </w:tc>
      </w:tr>
      <w:tr w:rsidR="006421EA" w:rsidRPr="006421EA" w14:paraId="3C15E2B8" w14:textId="77777777" w:rsidTr="00056436">
        <w:tc>
          <w:tcPr>
            <w:tcW w:w="0" w:type="auto"/>
          </w:tcPr>
          <w:p w14:paraId="47593C4E" w14:textId="16B9129D"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Điều 5</w:t>
            </w:r>
          </w:p>
        </w:tc>
        <w:tc>
          <w:tcPr>
            <w:tcW w:w="0" w:type="auto"/>
          </w:tcPr>
          <w:p w14:paraId="456B6217"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439ED975" w14:textId="3C975B33" w:rsidR="00F55491" w:rsidRPr="006421EA" w:rsidRDefault="00F55491" w:rsidP="006421EA">
            <w:pPr>
              <w:pStyle w:val="NormalWeb"/>
              <w:spacing w:before="120"/>
              <w:jc w:val="both"/>
              <w:rPr>
                <w:rFonts w:asciiTheme="majorHAnsi" w:hAnsiTheme="majorHAnsi" w:cstheme="majorHAnsi"/>
                <w:lang w:val="vi-VN"/>
              </w:rPr>
            </w:pPr>
            <w:r w:rsidRPr="006421EA">
              <w:rPr>
                <w:rFonts w:asciiTheme="majorHAnsi" w:hAnsiTheme="majorHAnsi" w:cstheme="majorHAnsi"/>
                <w:lang w:val="vi-VN"/>
              </w:rPr>
              <w:t>2.2. Đề nghị rà soát các thủ tục hành chính, trường hợp các nội dung mang tính nguyên tắc đã được xác định tại Điều 5 của dự thảo Nghị định thì lược bỏ không quy định tại các điều khoản cụ thể để tránh trùng lặp.</w:t>
            </w:r>
          </w:p>
        </w:tc>
        <w:tc>
          <w:tcPr>
            <w:tcW w:w="3864" w:type="dxa"/>
          </w:tcPr>
          <w:p w14:paraId="400933D2" w14:textId="3DA4DE2B" w:rsidR="00F55491" w:rsidRPr="006421EA" w:rsidRDefault="00C40136"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đã rà soát chỉnh lý dự thảo đảm bảo đồng bộ, thuận lợi cho người dân và doanh nghiệp khi áp dụng TTHC.</w:t>
            </w:r>
          </w:p>
        </w:tc>
      </w:tr>
      <w:tr w:rsidR="006421EA" w:rsidRPr="006421EA" w14:paraId="6D498ACA" w14:textId="77777777" w:rsidTr="00056436">
        <w:tc>
          <w:tcPr>
            <w:tcW w:w="0" w:type="auto"/>
          </w:tcPr>
          <w:p w14:paraId="36AC88CC"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1408D53A"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31E8C0C0" w14:textId="3A84ED9A" w:rsidR="00F55491" w:rsidRPr="006421EA" w:rsidRDefault="00F55491" w:rsidP="006421EA">
            <w:pPr>
              <w:pStyle w:val="NormalWeb"/>
              <w:spacing w:before="120"/>
              <w:jc w:val="both"/>
              <w:rPr>
                <w:rFonts w:asciiTheme="majorHAnsi" w:hAnsiTheme="majorHAnsi" w:cstheme="majorHAnsi"/>
                <w:lang w:val="vi-VN"/>
              </w:rPr>
            </w:pPr>
            <w:r w:rsidRPr="006421EA">
              <w:rPr>
                <w:rFonts w:asciiTheme="majorHAnsi" w:hAnsiTheme="majorHAnsi" w:cstheme="majorHAnsi"/>
                <w:lang w:val="vi-VN"/>
              </w:rPr>
              <w:t>2.3. Đề nghị rà soát lại toàn bộ các quy định về cấp công nhận, phê chuẩn là Nhà chức trách hàng không hay Cục Hàng không Việt Nam để bảo đảm tính thống nhất, đồng bộ.</w:t>
            </w:r>
          </w:p>
        </w:tc>
        <w:tc>
          <w:tcPr>
            <w:tcW w:w="3864" w:type="dxa"/>
          </w:tcPr>
          <w:p w14:paraId="493765CF" w14:textId="35225C0A" w:rsidR="00F55491" w:rsidRPr="006421EA" w:rsidRDefault="00E57454"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Cơ quan soạn thảo giải trình làm rõ nguyên tắc sử dụng từ ngữ: Thuật ngữ "Nhà chức trách hàng không Việt Nam" được dùng khi đề cập đến thẩm quyền, chức năng quản lý nhà nước (ví dụ: cấp phép, phê chuẩn). Thuật ngữ "Cục Hàng không Việt Nam" được dùng trong các điều khoản về TTHC để chỉ đích danh cơ quan hành chính tiếp nhận, giải quyết và trả hồ sơ. Cơ quan soạn thảo đã rà soát để đảm bảo sự nhất quán này.</w:t>
            </w:r>
          </w:p>
        </w:tc>
      </w:tr>
      <w:tr w:rsidR="006421EA" w:rsidRPr="006421EA" w14:paraId="43E23203" w14:textId="77777777" w:rsidTr="00056436">
        <w:tc>
          <w:tcPr>
            <w:tcW w:w="0" w:type="auto"/>
          </w:tcPr>
          <w:p w14:paraId="1FFCDB66"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42798A55"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4BBCB426" w14:textId="738EA13F" w:rsidR="00F55491" w:rsidRPr="006421EA" w:rsidRDefault="00F55491" w:rsidP="006421EA">
            <w:pPr>
              <w:pStyle w:val="NormalWeb"/>
              <w:spacing w:before="120"/>
              <w:jc w:val="both"/>
              <w:rPr>
                <w:rFonts w:asciiTheme="majorHAnsi" w:hAnsiTheme="majorHAnsi" w:cstheme="majorHAnsi"/>
                <w:lang w:val="vi-VN"/>
              </w:rPr>
            </w:pPr>
            <w:r w:rsidRPr="006421EA">
              <w:rPr>
                <w:rFonts w:asciiTheme="majorHAnsi" w:hAnsiTheme="majorHAnsi" w:cstheme="majorHAnsi"/>
                <w:lang w:val="vi-VN"/>
              </w:rPr>
              <w:t>3. Đề nghị thực hiện việc đăng tải báo cáo tiếp thu giải trình, truyền thông chính sách dự thảo Nghị định trên cổng điện tử của Bộ Xây dựng.</w:t>
            </w:r>
          </w:p>
        </w:tc>
        <w:tc>
          <w:tcPr>
            <w:tcW w:w="3864" w:type="dxa"/>
          </w:tcPr>
          <w:p w14:paraId="2157E468" w14:textId="35F828B1" w:rsidR="00F55491" w:rsidRPr="006421EA" w:rsidRDefault="00436157" w:rsidP="006421EA">
            <w:pPr>
              <w:spacing w:before="120" w:after="120"/>
              <w:rPr>
                <w:rFonts w:asciiTheme="majorHAnsi" w:hAnsiTheme="majorHAnsi" w:cstheme="majorHAnsi"/>
                <w:sz w:val="24"/>
                <w:szCs w:val="24"/>
              </w:rPr>
            </w:pPr>
            <w:r w:rsidRPr="006421EA">
              <w:rPr>
                <w:rFonts w:asciiTheme="majorHAnsi" w:hAnsiTheme="majorHAnsi" w:cstheme="majorHAnsi"/>
                <w:sz w:val="24"/>
                <w:szCs w:val="24"/>
              </w:rPr>
              <w:t>Đã hoàn thành.</w:t>
            </w:r>
          </w:p>
        </w:tc>
      </w:tr>
      <w:tr w:rsidR="006421EA" w:rsidRPr="006421EA" w14:paraId="652DFC2E" w14:textId="77777777" w:rsidTr="00056436">
        <w:tc>
          <w:tcPr>
            <w:tcW w:w="0" w:type="auto"/>
          </w:tcPr>
          <w:p w14:paraId="5F4B3BF2" w14:textId="77777777" w:rsidR="00F55491" w:rsidRPr="006421EA" w:rsidRDefault="00F55491" w:rsidP="006421EA">
            <w:pPr>
              <w:spacing w:before="120" w:after="120"/>
              <w:rPr>
                <w:rFonts w:asciiTheme="majorHAnsi" w:hAnsiTheme="majorHAnsi" w:cstheme="majorHAnsi"/>
                <w:sz w:val="24"/>
                <w:szCs w:val="24"/>
              </w:rPr>
            </w:pPr>
          </w:p>
        </w:tc>
        <w:tc>
          <w:tcPr>
            <w:tcW w:w="0" w:type="auto"/>
          </w:tcPr>
          <w:p w14:paraId="6447AD92" w14:textId="77777777" w:rsidR="00F55491" w:rsidRPr="006421EA" w:rsidRDefault="00F55491" w:rsidP="006421EA">
            <w:pPr>
              <w:spacing w:before="120" w:after="120"/>
              <w:rPr>
                <w:rFonts w:asciiTheme="majorHAnsi" w:hAnsiTheme="majorHAnsi" w:cstheme="majorHAnsi"/>
                <w:b/>
                <w:bCs/>
                <w:sz w:val="24"/>
                <w:szCs w:val="24"/>
              </w:rPr>
            </w:pPr>
          </w:p>
        </w:tc>
        <w:tc>
          <w:tcPr>
            <w:tcW w:w="5037" w:type="dxa"/>
          </w:tcPr>
          <w:p w14:paraId="2CDAA124" w14:textId="1AF25ABF" w:rsidR="00F55491" w:rsidRPr="006421EA" w:rsidRDefault="00F55491" w:rsidP="006421EA">
            <w:pPr>
              <w:pStyle w:val="NormalWeb"/>
              <w:spacing w:before="120"/>
              <w:jc w:val="both"/>
              <w:rPr>
                <w:rFonts w:asciiTheme="majorHAnsi" w:hAnsiTheme="majorHAnsi" w:cstheme="majorHAnsi"/>
                <w:lang w:val="vi-VN"/>
              </w:rPr>
            </w:pPr>
            <w:r w:rsidRPr="006421EA">
              <w:rPr>
                <w:rFonts w:asciiTheme="majorHAnsi" w:hAnsiTheme="majorHAnsi" w:cstheme="majorHAnsi"/>
                <w:lang w:val="vi-VN"/>
              </w:rPr>
              <w:t>4. Về kỹ thuật văn bản: đề nghị rà soát về thể thức, kỹ thuật văn bản (rà soát cách đánh số thứ tự các điểm theo bảng chữ cái tiếng Việt, cách đánh dấu câu...).</w:t>
            </w:r>
          </w:p>
        </w:tc>
        <w:tc>
          <w:tcPr>
            <w:tcW w:w="3864" w:type="dxa"/>
          </w:tcPr>
          <w:p w14:paraId="5A64B985" w14:textId="18213895" w:rsidR="00F55491" w:rsidRPr="006421EA" w:rsidRDefault="00FD2B98"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cập nhật nội dung dự thảo</w:t>
            </w:r>
          </w:p>
        </w:tc>
      </w:tr>
      <w:tr w:rsidR="006421EA" w:rsidRPr="006421EA" w14:paraId="24B53736" w14:textId="77777777" w:rsidTr="00056436">
        <w:tc>
          <w:tcPr>
            <w:tcW w:w="0" w:type="auto"/>
          </w:tcPr>
          <w:p w14:paraId="03F9E077"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2424DFDE"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35AD08B0" w14:textId="16F93FB3" w:rsidR="00F55491" w:rsidRPr="006421EA" w:rsidRDefault="00F55491" w:rsidP="006421EA">
            <w:pPr>
              <w:pStyle w:val="NormalWeb"/>
              <w:spacing w:before="120"/>
              <w:jc w:val="both"/>
              <w:rPr>
                <w:rFonts w:asciiTheme="majorHAnsi" w:hAnsiTheme="majorHAnsi" w:cstheme="majorHAnsi"/>
                <w:lang w:val="vi-VN"/>
              </w:rPr>
            </w:pPr>
            <w:r w:rsidRPr="006421EA">
              <w:rPr>
                <w:rFonts w:asciiTheme="majorHAnsi" w:hAnsiTheme="majorHAnsi" w:cstheme="majorHAnsi"/>
                <w:lang w:val="vi-VN"/>
              </w:rPr>
              <w:t xml:space="preserve">5. Thực hiện ý kiến chỉ đạo của Bộ trưởng tại Công văn số 4441/BXD-PC ngày 24 tháng 3 năm 2026 về việc triển khai Kết luận của Thường trực Chính </w:t>
            </w:r>
            <w:r w:rsidRPr="006421EA">
              <w:rPr>
                <w:rFonts w:asciiTheme="majorHAnsi" w:hAnsiTheme="majorHAnsi" w:cstheme="majorHAnsi"/>
                <w:lang w:val="vi-VN"/>
              </w:rPr>
              <w:lastRenderedPageBreak/>
              <w:t>phủ, đề nghị Quý Vụ tập trung nâng cao hiệu quả phối hợp với các cơ quan nội bộ và đơn vị liên quan để thống nhất nội dung ngay từ giai đoạn soạn thảo. Đối với những vấn đề còn ý kiến khác nhau, đơn vị chủ trì cần chủ động tham mưu Lãnh đạo Bộ trao đổi, thống nhất với các Bộ, ngành trước khi trình Chính phủ, Thủ tướng Chính phủ, tuyệt đối không để kéo dài thời gian xử lý văn bản và không nợ đọng văn bản quy định chi tiết.</w:t>
            </w:r>
          </w:p>
        </w:tc>
        <w:tc>
          <w:tcPr>
            <w:tcW w:w="3864" w:type="dxa"/>
          </w:tcPr>
          <w:p w14:paraId="4A3314E3" w14:textId="70C64861" w:rsidR="00F55491" w:rsidRPr="006421EA" w:rsidRDefault="00FD2B98"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Tiếp thu ý kiến và hoàn thiện hồ sơ dự thảo Nghị định</w:t>
            </w:r>
          </w:p>
        </w:tc>
      </w:tr>
      <w:tr w:rsidR="006421EA" w:rsidRPr="006421EA" w14:paraId="4ED29B0F" w14:textId="77777777" w:rsidTr="00056436">
        <w:tc>
          <w:tcPr>
            <w:tcW w:w="0" w:type="auto"/>
          </w:tcPr>
          <w:p w14:paraId="5C5ACF17"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22C78C4F" w14:textId="4D2C5854" w:rsidR="00F55491" w:rsidRPr="006421EA" w:rsidRDefault="00F55491" w:rsidP="006421EA">
            <w:pPr>
              <w:spacing w:before="120" w:after="120"/>
              <w:rPr>
                <w:rFonts w:asciiTheme="majorHAnsi" w:hAnsiTheme="majorHAnsi" w:cstheme="majorHAnsi"/>
                <w:b/>
                <w:bCs/>
                <w:sz w:val="24"/>
                <w:szCs w:val="24"/>
                <w:lang w:val="vi-VN"/>
              </w:rPr>
            </w:pPr>
            <w:r w:rsidRPr="006421EA">
              <w:rPr>
                <w:rFonts w:asciiTheme="majorHAnsi" w:hAnsiTheme="majorHAnsi" w:cstheme="majorHAnsi"/>
                <w:b/>
                <w:bCs/>
                <w:sz w:val="24"/>
                <w:szCs w:val="24"/>
                <w:lang w:val="vi-VN"/>
              </w:rPr>
              <w:t>Văn phòng Bộ Xây dựng</w:t>
            </w:r>
          </w:p>
        </w:tc>
        <w:tc>
          <w:tcPr>
            <w:tcW w:w="5037" w:type="dxa"/>
          </w:tcPr>
          <w:p w14:paraId="5C5E7C34" w14:textId="5DA7B4C1" w:rsidR="00F55491" w:rsidRPr="006421EA" w:rsidRDefault="00F55491" w:rsidP="006421EA">
            <w:pPr>
              <w:pStyle w:val="NormalWeb"/>
              <w:spacing w:before="120"/>
              <w:jc w:val="both"/>
              <w:rPr>
                <w:rFonts w:asciiTheme="majorHAnsi" w:hAnsiTheme="majorHAnsi" w:cstheme="majorHAnsi"/>
                <w:lang w:val="vi-VN"/>
              </w:rPr>
            </w:pPr>
            <w:r w:rsidRPr="006421EA">
              <w:rPr>
                <w:rFonts w:asciiTheme="majorHAnsi" w:hAnsiTheme="majorHAnsi" w:cstheme="majorHAnsi"/>
                <w:shd w:val="clear" w:color="auto" w:fill="FFFFFF"/>
                <w:lang w:val="vi-VN"/>
              </w:rPr>
              <w:t xml:space="preserve">1. Quy định về yêu cầu đối với thành phần hồ sơ </w:t>
            </w:r>
            <w:r w:rsidRPr="006421EA">
              <w:rPr>
                <w:rFonts w:asciiTheme="majorHAnsi" w:hAnsiTheme="majorHAnsi" w:cstheme="majorHAnsi"/>
                <w:i/>
                <w:shd w:val="clear" w:color="auto" w:fill="FFFFFF"/>
                <w:lang w:val="vi-VN"/>
              </w:rPr>
              <w:t>(bản sao, bản sao điện tử, bản chính;….)</w:t>
            </w:r>
            <w:r w:rsidRPr="006421EA">
              <w:rPr>
                <w:rFonts w:asciiTheme="majorHAnsi" w:hAnsiTheme="majorHAnsi" w:cstheme="majorHAnsi"/>
                <w:shd w:val="clear" w:color="auto" w:fill="FFFFFF"/>
                <w:lang w:val="vi-VN"/>
              </w:rPr>
              <w:t>: đề nghị cơ quan soạn thảo rà soát, nghiên cứu, bổ sung đầy đủ yêu cầu đối với các thành phần hồ sơ tại các quy định về TTHC để đảm bảo phù hợp với các hình thức nộp hồ sơ trực tuyến, trực tiếp, qua bưu chính.</w:t>
            </w:r>
          </w:p>
        </w:tc>
        <w:tc>
          <w:tcPr>
            <w:tcW w:w="3864" w:type="dxa"/>
          </w:tcPr>
          <w:p w14:paraId="2FCFB800" w14:textId="59771BB6" w:rsidR="00F55491" w:rsidRPr="006421EA" w:rsidRDefault="00E350F1"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hoàn thiện hồ sơ dự thảo Nghị định</w:t>
            </w:r>
          </w:p>
        </w:tc>
      </w:tr>
      <w:tr w:rsidR="006421EA" w:rsidRPr="006421EA" w14:paraId="66AF4E14" w14:textId="77777777" w:rsidTr="00056436">
        <w:tc>
          <w:tcPr>
            <w:tcW w:w="0" w:type="auto"/>
          </w:tcPr>
          <w:p w14:paraId="7F02B5E4"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2608FA32"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41730823" w14:textId="7AF7ACB0" w:rsidR="00F55491" w:rsidRPr="006421EA" w:rsidRDefault="00F55491" w:rsidP="006421EA">
            <w:pPr>
              <w:pStyle w:val="NormalWeb"/>
              <w:spacing w:before="120"/>
              <w:jc w:val="both"/>
              <w:rPr>
                <w:rFonts w:asciiTheme="majorHAnsi" w:hAnsiTheme="majorHAnsi" w:cstheme="majorHAnsi"/>
                <w:shd w:val="clear" w:color="auto" w:fill="FFFFFF"/>
                <w:lang w:val="vi-VN"/>
              </w:rPr>
            </w:pPr>
            <w:r w:rsidRPr="006421EA">
              <w:rPr>
                <w:rFonts w:asciiTheme="majorHAnsi" w:hAnsiTheme="majorHAnsi" w:cstheme="majorHAnsi"/>
                <w:shd w:val="clear" w:color="auto" w:fill="FFFFFF"/>
                <w:lang w:val="vi-VN"/>
              </w:rPr>
              <w:t>2. Đề nghị cơ quan soạn thảo rà soát lại tất cả các quy định về trình tự giải quyết TTHC tại dự thảo Nghị định để quy định rõ ràng, đầy đủ các bước thực hiện TTHC và đảm bảo tính thống nhất trong việc quy định các bước giải quyết TTHC đối với tất cả các TTHC tại dự thảo Nghị định.</w:t>
            </w:r>
          </w:p>
        </w:tc>
        <w:tc>
          <w:tcPr>
            <w:tcW w:w="3864" w:type="dxa"/>
          </w:tcPr>
          <w:p w14:paraId="750BF47D" w14:textId="42C31CCB" w:rsidR="00F55491" w:rsidRPr="006421EA" w:rsidRDefault="00E350F1"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hoàn thiện hồ sơ dự thảo Nghị định</w:t>
            </w:r>
          </w:p>
        </w:tc>
      </w:tr>
      <w:tr w:rsidR="006421EA" w:rsidRPr="006421EA" w14:paraId="7A61FD8D" w14:textId="77777777" w:rsidTr="00056436">
        <w:tc>
          <w:tcPr>
            <w:tcW w:w="0" w:type="auto"/>
          </w:tcPr>
          <w:p w14:paraId="1C941EEE" w14:textId="110A0639"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5</w:t>
            </w:r>
          </w:p>
        </w:tc>
        <w:tc>
          <w:tcPr>
            <w:tcW w:w="0" w:type="auto"/>
          </w:tcPr>
          <w:p w14:paraId="797360DB"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5A57ADF0" w14:textId="74100EB2" w:rsidR="00F55491" w:rsidRPr="006421EA" w:rsidRDefault="00F55491" w:rsidP="006421EA">
            <w:pPr>
              <w:pStyle w:val="NormalWeb"/>
              <w:spacing w:before="120"/>
              <w:jc w:val="both"/>
              <w:rPr>
                <w:rFonts w:asciiTheme="majorHAnsi" w:hAnsiTheme="majorHAnsi" w:cstheme="majorHAnsi"/>
                <w:shd w:val="clear" w:color="auto" w:fill="FFFFFF"/>
                <w:lang w:val="vi-VN"/>
              </w:rPr>
            </w:pPr>
            <w:r w:rsidRPr="006421EA">
              <w:rPr>
                <w:rFonts w:asciiTheme="majorHAnsi" w:hAnsiTheme="majorHAnsi" w:cstheme="majorHAnsi"/>
                <w:shd w:val="clear" w:color="auto" w:fill="FFFFFF"/>
                <w:lang w:val="vi-VN"/>
              </w:rPr>
              <w:t xml:space="preserve">3. Đề nghị cơ quan soạn thảo rà soát các Điều quy định về TTHC tại dự thảo Nghị định để quy định theo hướng: không quy định lại các nội dung đã được quy định tại Điều 5 Nguyên tắc giải quyết TTHC để tránh trùng lặp, không cần thiết </w:t>
            </w:r>
            <w:r w:rsidRPr="006421EA">
              <w:rPr>
                <w:rFonts w:asciiTheme="majorHAnsi" w:hAnsiTheme="majorHAnsi" w:cstheme="majorHAnsi"/>
                <w:i/>
                <w:iCs/>
                <w:shd w:val="clear" w:color="auto" w:fill="FFFFFF"/>
                <w:lang w:val="vi-VN"/>
              </w:rPr>
              <w:t>(ví dụ: cách thức thực hiện TTHC; trách nhiệm của tổ chức, cá nhân về tính chính xác, trung thực của các thông tin ghi trong hồ sơ;…).</w:t>
            </w:r>
          </w:p>
        </w:tc>
        <w:tc>
          <w:tcPr>
            <w:tcW w:w="3864" w:type="dxa"/>
          </w:tcPr>
          <w:p w14:paraId="70B8BE1B" w14:textId="40106383" w:rsidR="00F55491" w:rsidRPr="006421EA" w:rsidRDefault="00E350F1"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hoàn thiện hồ sơ dự thảo Nghị định</w:t>
            </w:r>
          </w:p>
        </w:tc>
      </w:tr>
      <w:tr w:rsidR="006421EA" w:rsidRPr="006421EA" w14:paraId="3271F7EF" w14:textId="77777777" w:rsidTr="00056436">
        <w:tc>
          <w:tcPr>
            <w:tcW w:w="0" w:type="auto"/>
          </w:tcPr>
          <w:p w14:paraId="3C5BA66F" w14:textId="5F6CED40"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bCs/>
                <w:sz w:val="24"/>
                <w:szCs w:val="24"/>
              </w:rPr>
              <w:t>Điều 5</w:t>
            </w:r>
          </w:p>
        </w:tc>
        <w:tc>
          <w:tcPr>
            <w:tcW w:w="0" w:type="auto"/>
          </w:tcPr>
          <w:p w14:paraId="230CC7C5"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5808FD79" w14:textId="77777777" w:rsidR="00F55491" w:rsidRPr="006421EA" w:rsidRDefault="00F55491" w:rsidP="006421EA">
            <w:pPr>
              <w:spacing w:before="120" w:after="120" w:line="312" w:lineRule="auto"/>
              <w:jc w:val="both"/>
              <w:rPr>
                <w:rFonts w:asciiTheme="majorHAnsi" w:hAnsiTheme="majorHAnsi" w:cstheme="majorHAnsi"/>
                <w:bCs/>
                <w:sz w:val="24"/>
                <w:szCs w:val="24"/>
                <w:lang w:val="vi-VN"/>
              </w:rPr>
            </w:pPr>
            <w:r w:rsidRPr="006421EA">
              <w:rPr>
                <w:rFonts w:asciiTheme="majorHAnsi" w:hAnsiTheme="majorHAnsi" w:cstheme="majorHAnsi"/>
                <w:bCs/>
                <w:sz w:val="24"/>
                <w:szCs w:val="24"/>
                <w:lang w:val="vi-VN"/>
              </w:rPr>
              <w:t>4. Điều 5:</w:t>
            </w:r>
          </w:p>
          <w:p w14:paraId="3C588312" w14:textId="6BF0FC3F" w:rsidR="00F55491" w:rsidRPr="006421EA" w:rsidRDefault="00F55491" w:rsidP="006421EA">
            <w:pPr>
              <w:pStyle w:val="NormalWeb"/>
              <w:spacing w:before="120"/>
              <w:jc w:val="both"/>
              <w:rPr>
                <w:rFonts w:asciiTheme="majorHAnsi" w:hAnsiTheme="majorHAnsi" w:cstheme="majorHAnsi"/>
                <w:shd w:val="clear" w:color="auto" w:fill="FFFFFF"/>
                <w:lang w:val="vi-VN"/>
              </w:rPr>
            </w:pPr>
            <w:r w:rsidRPr="006421EA">
              <w:rPr>
                <w:rFonts w:asciiTheme="majorHAnsi" w:hAnsiTheme="majorHAnsi" w:cstheme="majorHAnsi"/>
                <w:bCs/>
                <w:lang w:val="vi-VN"/>
              </w:rPr>
              <w:t xml:space="preserve">- Điểm a khoản 1: đề nghị bỏ cụm từ “Tổ chức, cá </w:t>
            </w:r>
            <w:r w:rsidRPr="006421EA">
              <w:rPr>
                <w:rFonts w:asciiTheme="majorHAnsi" w:hAnsiTheme="majorHAnsi" w:cstheme="majorHAnsi"/>
                <w:bCs/>
                <w:lang w:val="vi-VN"/>
              </w:rPr>
              <w:lastRenderedPageBreak/>
              <w:t>nhân có trách nhiệm”.</w:t>
            </w:r>
          </w:p>
        </w:tc>
        <w:tc>
          <w:tcPr>
            <w:tcW w:w="3864" w:type="dxa"/>
          </w:tcPr>
          <w:p w14:paraId="2AA90D5A" w14:textId="53669C75" w:rsidR="00F55491" w:rsidRPr="006421EA" w:rsidRDefault="00B550E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Tiếp thu ý kiến và hoàn thiện hồ sơ dự thảo Nghị định</w:t>
            </w:r>
          </w:p>
        </w:tc>
      </w:tr>
      <w:tr w:rsidR="006421EA" w:rsidRPr="006421EA" w14:paraId="51E5422B" w14:textId="77777777" w:rsidTr="00056436">
        <w:tc>
          <w:tcPr>
            <w:tcW w:w="0" w:type="auto"/>
          </w:tcPr>
          <w:p w14:paraId="2467928B"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346DB138"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6F347933" w14:textId="16E33A61" w:rsidR="00F55491" w:rsidRPr="006421EA" w:rsidRDefault="00F55491" w:rsidP="006421EA">
            <w:pPr>
              <w:spacing w:before="120" w:after="120" w:line="312" w:lineRule="auto"/>
              <w:jc w:val="both"/>
              <w:rPr>
                <w:rFonts w:asciiTheme="majorHAnsi" w:hAnsiTheme="majorHAnsi" w:cstheme="majorHAnsi"/>
                <w:bCs/>
                <w:sz w:val="24"/>
                <w:szCs w:val="24"/>
                <w:lang w:val="vi-VN"/>
              </w:rPr>
            </w:pPr>
            <w:r w:rsidRPr="006421EA">
              <w:rPr>
                <w:rFonts w:asciiTheme="majorHAnsi" w:hAnsiTheme="majorHAnsi" w:cstheme="majorHAnsi"/>
                <w:bCs/>
                <w:sz w:val="24"/>
                <w:szCs w:val="24"/>
                <w:lang w:val="vi-VN"/>
              </w:rPr>
              <w:t>- Khoản 7: đề nghị cơ quan soạn thảo nghiên cứu đưa nội dung khoản này vào chương quy định về nội dung, không quy định tại điều nguyên tắc chung vì khoản này chỉ quy định liên quan đến giấy chứng nhận, giấy phép trong khi tại dự thảo Nghị định quy định rất nhiều TTHC, trong đó có những TTHC có kết quả giải quyết TTHC không phải là giấy phép, giấy chứng nhận.</w:t>
            </w:r>
          </w:p>
        </w:tc>
        <w:tc>
          <w:tcPr>
            <w:tcW w:w="3864" w:type="dxa"/>
          </w:tcPr>
          <w:p w14:paraId="4B1A7AC9" w14:textId="525FE9D6" w:rsidR="00F55491" w:rsidRPr="006421EA" w:rsidRDefault="007C1D7B"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Cơ quan soạn thảo đề nghị giữ nguyên nội dung vị trí khoản 7 Điều 5 do đây là tình huống bất khả kháng áp dụng chung cho mọi loại giấy phép, chứng nhận có quy định phải kiểm tra thực tế trong toàn bộ Nghị định, nhằm tránh lặp lại nội dung mang tính nguyên tắc tại nhiều Điều khác nhau trong Nghị định</w:t>
            </w:r>
          </w:p>
        </w:tc>
      </w:tr>
      <w:tr w:rsidR="006421EA" w:rsidRPr="006421EA" w14:paraId="5C1C4E23" w14:textId="77777777" w:rsidTr="00056436">
        <w:tc>
          <w:tcPr>
            <w:tcW w:w="0" w:type="auto"/>
          </w:tcPr>
          <w:p w14:paraId="78FF6A71" w14:textId="48EC5FE3"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Khoản 3 Điều 11</w:t>
            </w:r>
          </w:p>
        </w:tc>
        <w:tc>
          <w:tcPr>
            <w:tcW w:w="0" w:type="auto"/>
          </w:tcPr>
          <w:p w14:paraId="79A3694F"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0D0BEA12" w14:textId="1F92B462" w:rsidR="00F55491" w:rsidRPr="006421EA" w:rsidRDefault="00F55491" w:rsidP="006421EA">
            <w:pPr>
              <w:spacing w:before="120" w:after="120" w:line="312" w:lineRule="auto"/>
              <w:jc w:val="both"/>
              <w:rPr>
                <w:rFonts w:asciiTheme="majorHAnsi" w:hAnsiTheme="majorHAnsi" w:cstheme="majorHAnsi"/>
                <w:bCs/>
                <w:sz w:val="24"/>
                <w:szCs w:val="24"/>
                <w:lang w:val="vi-VN"/>
              </w:rPr>
            </w:pPr>
            <w:r w:rsidRPr="006421EA">
              <w:rPr>
                <w:rFonts w:asciiTheme="majorHAnsi" w:hAnsiTheme="majorHAnsi" w:cstheme="majorHAnsi"/>
                <w:bCs/>
                <w:sz w:val="24"/>
                <w:szCs w:val="24"/>
                <w:lang w:val="vi-VN"/>
              </w:rPr>
              <w:t xml:space="preserve">5. Khoản 3 Điều 11: </w:t>
            </w:r>
            <w:r w:rsidRPr="006421EA">
              <w:rPr>
                <w:rFonts w:asciiTheme="majorHAnsi" w:hAnsiTheme="majorHAnsi" w:cstheme="majorHAnsi"/>
                <w:sz w:val="24"/>
                <w:szCs w:val="24"/>
                <w:shd w:val="clear" w:color="auto" w:fill="FFFFFF"/>
                <w:lang w:val="vi-VN"/>
              </w:rPr>
              <w:t xml:space="preserve">đề nghị cơ quan soạn thảo làm rõ hình thức công nhận đối với quy định </w:t>
            </w:r>
            <w:r w:rsidRPr="006421EA">
              <w:rPr>
                <w:rFonts w:asciiTheme="majorHAnsi" w:hAnsiTheme="majorHAnsi" w:cstheme="majorHAnsi"/>
                <w:i/>
                <w:sz w:val="24"/>
                <w:szCs w:val="24"/>
                <w:shd w:val="clear" w:color="auto" w:fill="FFFFFF"/>
                <w:lang w:val="vi-VN"/>
              </w:rPr>
              <w:t>“Nhà chức trách hàng không Việt Nam công nhận các tổ chức sản xuất tàu bay,…”.</w:t>
            </w:r>
          </w:p>
        </w:tc>
        <w:tc>
          <w:tcPr>
            <w:tcW w:w="3864" w:type="dxa"/>
          </w:tcPr>
          <w:p w14:paraId="70C9CD2C" w14:textId="77777777" w:rsidR="00F55491" w:rsidRPr="006421EA" w:rsidRDefault="005443BE"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góp ý, cơ quan soạn thảo đã làm rõ hình thức công nhận là "tự động công nhận"</w:t>
            </w:r>
          </w:p>
          <w:p w14:paraId="57A14F5A" w14:textId="77777777" w:rsidR="005443BE" w:rsidRPr="006421EA" w:rsidRDefault="005443BE" w:rsidP="006421EA">
            <w:pPr>
              <w:spacing w:before="120" w:after="120"/>
              <w:rPr>
                <w:rFonts w:asciiTheme="majorHAnsi" w:hAnsiTheme="majorHAnsi" w:cstheme="majorHAnsi"/>
                <w:sz w:val="24"/>
                <w:szCs w:val="24"/>
                <w:lang w:val="vi-VN"/>
              </w:rPr>
            </w:pPr>
          </w:p>
          <w:p w14:paraId="1D1F7D72" w14:textId="4A7565CE" w:rsidR="005443BE" w:rsidRPr="006421EA" w:rsidRDefault="005443BE"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3. Nhà chức trách hàng không Việt Nam tự động công nhận các tổ chức sản xuất tàu bay, động cơ tàu bay, cánh quạt tàu bay và trang thiết bị tàu bay đã được các Nhà chức trách hàng không quy định tại khoản 2 Điều 9 phê chuẩn, với điều kiện các sản phẩm này thuộc thiết kế loại do chính cơ quan đó cấp lần đầu.</w:t>
            </w:r>
          </w:p>
        </w:tc>
      </w:tr>
      <w:tr w:rsidR="006421EA" w:rsidRPr="006421EA" w14:paraId="0B50402E" w14:textId="77777777" w:rsidTr="00056436">
        <w:tc>
          <w:tcPr>
            <w:tcW w:w="0" w:type="auto"/>
          </w:tcPr>
          <w:p w14:paraId="43AA1CD0" w14:textId="13F9A9BD"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iCs/>
                <w:sz w:val="24"/>
                <w:szCs w:val="24"/>
                <w:shd w:val="clear" w:color="auto" w:fill="FFFFFF"/>
              </w:rPr>
              <w:t>Khoản 7, 8 Điều 13</w:t>
            </w:r>
          </w:p>
        </w:tc>
        <w:tc>
          <w:tcPr>
            <w:tcW w:w="0" w:type="auto"/>
          </w:tcPr>
          <w:p w14:paraId="702021D0"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1BBE28FE" w14:textId="00D662F8" w:rsidR="00F55491" w:rsidRPr="006421EA" w:rsidRDefault="00F55491" w:rsidP="006421EA">
            <w:pPr>
              <w:spacing w:before="120" w:after="120" w:line="312" w:lineRule="auto"/>
              <w:jc w:val="both"/>
              <w:rPr>
                <w:rFonts w:asciiTheme="majorHAnsi" w:hAnsiTheme="majorHAnsi" w:cstheme="majorHAnsi"/>
                <w:bCs/>
                <w:sz w:val="24"/>
                <w:szCs w:val="24"/>
                <w:lang w:val="vi-VN"/>
              </w:rPr>
            </w:pPr>
            <w:r w:rsidRPr="006421EA">
              <w:rPr>
                <w:rFonts w:asciiTheme="majorHAnsi" w:hAnsiTheme="majorHAnsi" w:cstheme="majorHAnsi"/>
                <w:iCs/>
                <w:sz w:val="24"/>
                <w:szCs w:val="24"/>
                <w:shd w:val="clear" w:color="auto" w:fill="FFFFFF"/>
                <w:lang w:val="vi-VN"/>
              </w:rPr>
              <w:t>6. Khoản 7, 8 Điều 13: đề nghị cơ quan soạn thảo nghiên cứu, xem xét lại hai khoản này vì nội dung không phù hợp với nội dung của điều là “để duy trì đủ điều kiện bay liên tục, tàu bay phải được:”</w:t>
            </w:r>
          </w:p>
        </w:tc>
        <w:tc>
          <w:tcPr>
            <w:tcW w:w="3864" w:type="dxa"/>
          </w:tcPr>
          <w:p w14:paraId="693758A2" w14:textId="1366B7F4" w:rsidR="00F55491" w:rsidRPr="006421EA" w:rsidRDefault="005443BE"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Cơ quan soạn thảo đề nghị giữ nguyên nội dung và giải trình như sau: nội dung tại khoản 7, 8 Điều 13 dự thảo là một phần quy định về duy trì đủ điều kiện bay liên tục</w:t>
            </w:r>
            <w:r w:rsidR="001928AD" w:rsidRPr="006421EA">
              <w:rPr>
                <w:rFonts w:asciiTheme="majorHAnsi" w:hAnsiTheme="majorHAnsi" w:cstheme="majorHAnsi"/>
                <w:sz w:val="24"/>
                <w:szCs w:val="24"/>
                <w:lang w:val="vi-VN"/>
              </w:rPr>
              <w:t xml:space="preserve"> “continuing airworthiness”</w:t>
            </w:r>
            <w:r w:rsidRPr="006421EA">
              <w:rPr>
                <w:rFonts w:asciiTheme="majorHAnsi" w:hAnsiTheme="majorHAnsi" w:cstheme="majorHAnsi"/>
                <w:sz w:val="24"/>
                <w:szCs w:val="24"/>
                <w:lang w:val="vi-VN"/>
              </w:rPr>
              <w:t xml:space="preserve"> được </w:t>
            </w:r>
            <w:r w:rsidRPr="006421EA">
              <w:rPr>
                <w:rFonts w:asciiTheme="majorHAnsi" w:hAnsiTheme="majorHAnsi" w:cstheme="majorHAnsi"/>
                <w:sz w:val="24"/>
                <w:szCs w:val="24"/>
                <w:lang w:val="vi-VN"/>
              </w:rPr>
              <w:lastRenderedPageBreak/>
              <w:t>ICAO quy định tại Phụ ước 8 và tài liệu hướng dẫn Doc 9760.</w:t>
            </w:r>
          </w:p>
        </w:tc>
      </w:tr>
      <w:tr w:rsidR="006421EA" w:rsidRPr="006421EA" w14:paraId="11B869A5" w14:textId="77777777" w:rsidTr="00056436">
        <w:tc>
          <w:tcPr>
            <w:tcW w:w="0" w:type="auto"/>
          </w:tcPr>
          <w:p w14:paraId="6C76888F" w14:textId="64929882"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iCs/>
                <w:sz w:val="24"/>
                <w:szCs w:val="24"/>
                <w:shd w:val="clear" w:color="auto" w:fill="FFFFFF"/>
              </w:rPr>
              <w:lastRenderedPageBreak/>
              <w:t>Điều 14</w:t>
            </w:r>
          </w:p>
        </w:tc>
        <w:tc>
          <w:tcPr>
            <w:tcW w:w="0" w:type="auto"/>
          </w:tcPr>
          <w:p w14:paraId="1A61D2EF"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35E5CD67" w14:textId="6C7F54B3" w:rsidR="00F55491" w:rsidRPr="006421EA" w:rsidRDefault="00F55491" w:rsidP="006421EA">
            <w:pPr>
              <w:spacing w:before="120" w:after="120" w:line="312" w:lineRule="auto"/>
              <w:jc w:val="both"/>
              <w:rPr>
                <w:rFonts w:asciiTheme="majorHAnsi" w:hAnsiTheme="majorHAnsi" w:cstheme="majorHAnsi"/>
                <w:bCs/>
                <w:sz w:val="24"/>
                <w:szCs w:val="24"/>
                <w:lang w:val="vi-VN"/>
              </w:rPr>
            </w:pPr>
            <w:r w:rsidRPr="006421EA">
              <w:rPr>
                <w:rFonts w:asciiTheme="majorHAnsi" w:hAnsiTheme="majorHAnsi" w:cstheme="majorHAnsi"/>
                <w:iCs/>
                <w:sz w:val="24"/>
                <w:szCs w:val="24"/>
                <w:shd w:val="clear" w:color="auto" w:fill="FFFFFF"/>
                <w:lang w:val="vi-VN"/>
              </w:rPr>
              <w:t>7. Điều 14: đề nghị cơ quan soạn thảo nghiên cứu bổ sung đầy đủ mẫu kết quả giải quyết TTHC vào dự thảo Nghị định.</w:t>
            </w:r>
          </w:p>
        </w:tc>
        <w:tc>
          <w:tcPr>
            <w:tcW w:w="3864" w:type="dxa"/>
          </w:tcPr>
          <w:p w14:paraId="4C05B332" w14:textId="504EDC04" w:rsidR="00F55491" w:rsidRPr="006421EA" w:rsidRDefault="00CF407B"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cơ quan soạn thảo đã bổ sung đầy đủ mẫu kết quả vào Phụ lục dự thảo Nghị định</w:t>
            </w:r>
          </w:p>
        </w:tc>
      </w:tr>
      <w:tr w:rsidR="006421EA" w:rsidRPr="006421EA" w14:paraId="57AEA1A2" w14:textId="77777777" w:rsidTr="00056436">
        <w:tc>
          <w:tcPr>
            <w:tcW w:w="0" w:type="auto"/>
          </w:tcPr>
          <w:p w14:paraId="273D8163" w14:textId="222AA56A"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iCs/>
                <w:sz w:val="24"/>
                <w:szCs w:val="24"/>
                <w:shd w:val="clear" w:color="auto" w:fill="FFFFFF"/>
              </w:rPr>
              <w:t>Điều 15</w:t>
            </w:r>
          </w:p>
        </w:tc>
        <w:tc>
          <w:tcPr>
            <w:tcW w:w="0" w:type="auto"/>
          </w:tcPr>
          <w:p w14:paraId="7D998934"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063192B8" w14:textId="2125A5A9" w:rsidR="00F55491" w:rsidRPr="006421EA" w:rsidRDefault="00F55491" w:rsidP="006421EA">
            <w:pPr>
              <w:spacing w:before="120" w:after="120" w:line="312" w:lineRule="auto"/>
              <w:jc w:val="both"/>
              <w:rPr>
                <w:rFonts w:asciiTheme="majorHAnsi" w:hAnsiTheme="majorHAnsi" w:cstheme="majorHAnsi"/>
                <w:bCs/>
                <w:sz w:val="24"/>
                <w:szCs w:val="24"/>
                <w:lang w:val="vi-VN"/>
              </w:rPr>
            </w:pPr>
            <w:r w:rsidRPr="006421EA">
              <w:rPr>
                <w:rFonts w:asciiTheme="majorHAnsi" w:hAnsiTheme="majorHAnsi" w:cstheme="majorHAnsi"/>
                <w:iCs/>
                <w:sz w:val="24"/>
                <w:szCs w:val="24"/>
                <w:shd w:val="clear" w:color="auto" w:fill="FFFFFF"/>
                <w:lang w:val="vi-VN"/>
              </w:rPr>
              <w:t>8. Điều 15: quy định TTHC “</w:t>
            </w:r>
            <w:r w:rsidRPr="006421EA">
              <w:rPr>
                <w:rFonts w:asciiTheme="majorHAnsi" w:hAnsiTheme="majorHAnsi" w:cstheme="majorHAnsi"/>
                <w:i/>
                <w:sz w:val="24"/>
                <w:szCs w:val="24"/>
                <w:shd w:val="clear" w:color="auto" w:fill="FFFFFF"/>
                <w:lang w:val="vi-VN"/>
              </w:rPr>
              <w:t>Phê chuẩn, công nhận thay đổi thiết kế, trang thiết bị lắp trên tàu bay, động cơ tàu bay, cánh quạt tàu bay”</w:t>
            </w:r>
            <w:r w:rsidRPr="006421EA">
              <w:rPr>
                <w:rFonts w:asciiTheme="majorHAnsi" w:hAnsiTheme="majorHAnsi" w:cstheme="majorHAnsi"/>
                <w:iCs/>
                <w:sz w:val="24"/>
                <w:szCs w:val="24"/>
                <w:shd w:val="clear" w:color="auto" w:fill="FFFFFF"/>
                <w:lang w:val="vi-VN"/>
              </w:rPr>
              <w:t xml:space="preserve"> là TTHC mới, do đó đề nghị cơ quan soạn thảo đánh giá tác động làm rõ sự cần thiết của TTHC để tránh phát sinh TTHC không cần thiết.</w:t>
            </w:r>
          </w:p>
        </w:tc>
        <w:tc>
          <w:tcPr>
            <w:tcW w:w="3864" w:type="dxa"/>
          </w:tcPr>
          <w:p w14:paraId="36D65604" w14:textId="729D5703" w:rsidR="00F55491" w:rsidRPr="006421EA" w:rsidRDefault="00D72A40" w:rsidP="006421EA">
            <w:pPr>
              <w:spacing w:before="120" w:after="120"/>
              <w:rPr>
                <w:rFonts w:asciiTheme="majorHAnsi" w:hAnsiTheme="majorHAnsi" w:cstheme="majorHAnsi"/>
                <w:iCs/>
                <w:sz w:val="24"/>
                <w:szCs w:val="24"/>
                <w:lang w:val="vi-VN"/>
              </w:rPr>
            </w:pPr>
            <w:r w:rsidRPr="006421EA">
              <w:rPr>
                <w:rFonts w:asciiTheme="majorHAnsi" w:hAnsiTheme="majorHAnsi" w:cstheme="majorHAnsi"/>
                <w:sz w:val="24"/>
                <w:szCs w:val="24"/>
                <w:lang w:val="vi-VN"/>
              </w:rPr>
              <w:t xml:space="preserve">Cơ quan soạn thảo đã hoàn thiện đầy đủ bộ hồ sơ đánh giá </w:t>
            </w:r>
            <w:r w:rsidRPr="006421EA">
              <w:rPr>
                <w:rFonts w:asciiTheme="majorHAnsi" w:hAnsiTheme="majorHAnsi" w:cstheme="majorHAnsi"/>
                <w:iCs/>
                <w:sz w:val="24"/>
                <w:szCs w:val="24"/>
                <w:shd w:val="clear" w:color="auto" w:fill="FFFFFF"/>
                <w:lang w:val="vi-VN"/>
              </w:rPr>
              <w:t>tác động làm rõ sự cần thiết của TTHC “</w:t>
            </w:r>
            <w:r w:rsidRPr="006421EA">
              <w:rPr>
                <w:rFonts w:asciiTheme="majorHAnsi" w:hAnsiTheme="majorHAnsi" w:cstheme="majorHAnsi"/>
                <w:i/>
                <w:sz w:val="24"/>
                <w:szCs w:val="24"/>
                <w:shd w:val="clear" w:color="auto" w:fill="FFFFFF"/>
                <w:lang w:val="vi-VN"/>
              </w:rPr>
              <w:t>Phê chuẩn, công nhận thay đổi thiết kế, trang thiết bị lắp trên tàu bay, động cơ tàu bay, cánh quạt tàu bay”</w:t>
            </w:r>
            <w:r w:rsidRPr="006421EA">
              <w:rPr>
                <w:rFonts w:asciiTheme="majorHAnsi" w:hAnsiTheme="majorHAnsi" w:cstheme="majorHAnsi"/>
                <w:iCs/>
                <w:sz w:val="24"/>
                <w:szCs w:val="24"/>
                <w:shd w:val="clear" w:color="auto" w:fill="FFFFFF"/>
                <w:lang w:val="vi-VN"/>
              </w:rPr>
              <w:t xml:space="preserve"> theo quy định tại Thông tư số 26/2025/TT-BTP.</w:t>
            </w:r>
          </w:p>
        </w:tc>
      </w:tr>
      <w:tr w:rsidR="006421EA" w:rsidRPr="006421EA" w14:paraId="4B447DE0" w14:textId="77777777" w:rsidTr="00056436">
        <w:tc>
          <w:tcPr>
            <w:tcW w:w="0" w:type="auto"/>
          </w:tcPr>
          <w:p w14:paraId="44C68C24" w14:textId="5A12458D"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iCs/>
                <w:sz w:val="24"/>
                <w:szCs w:val="24"/>
                <w:shd w:val="clear" w:color="auto" w:fill="FFFFFF"/>
              </w:rPr>
              <w:t>Khoản 4 Điều 20</w:t>
            </w:r>
          </w:p>
        </w:tc>
        <w:tc>
          <w:tcPr>
            <w:tcW w:w="0" w:type="auto"/>
          </w:tcPr>
          <w:p w14:paraId="0FFB281C"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313E6448" w14:textId="407823F5" w:rsidR="00F55491" w:rsidRPr="006421EA" w:rsidRDefault="00F55491" w:rsidP="006421EA">
            <w:pPr>
              <w:spacing w:before="120" w:after="120" w:line="312" w:lineRule="auto"/>
              <w:jc w:val="both"/>
              <w:rPr>
                <w:rFonts w:asciiTheme="majorHAnsi" w:hAnsiTheme="majorHAnsi" w:cstheme="majorHAnsi"/>
                <w:bCs/>
                <w:sz w:val="24"/>
                <w:szCs w:val="24"/>
                <w:lang w:val="vi-VN"/>
              </w:rPr>
            </w:pPr>
            <w:r w:rsidRPr="006421EA">
              <w:rPr>
                <w:rFonts w:asciiTheme="majorHAnsi" w:hAnsiTheme="majorHAnsi" w:cstheme="majorHAnsi"/>
                <w:iCs/>
                <w:sz w:val="24"/>
                <w:szCs w:val="24"/>
                <w:shd w:val="clear" w:color="auto" w:fill="FFFFFF"/>
                <w:lang w:val="vi-VN"/>
              </w:rPr>
              <w:t xml:space="preserve">9. Khoản 4 Điều 20: đề nghị cơ quan soạn thảo nghiên cứu sửa khoản này thành: </w:t>
            </w:r>
            <w:r w:rsidRPr="006421EA">
              <w:rPr>
                <w:rFonts w:asciiTheme="majorHAnsi" w:hAnsiTheme="majorHAnsi" w:cstheme="majorHAnsi"/>
                <w:i/>
                <w:sz w:val="24"/>
                <w:szCs w:val="24"/>
                <w:shd w:val="clear" w:color="auto" w:fill="FFFFFF"/>
                <w:lang w:val="vi-VN"/>
              </w:rPr>
              <w:t>“Việc xuất, nhập khẩu tàu bay, động cơ tàu bay, cánh quạt tàu bay và trang thiết bị tàu bay theo quy định tại khoản 1 và khoản 3 Điều 15 của Luật Hàng không dân dụng Việt Nam được thực hiện theo quy định của pháp luật về hải quan”.</w:t>
            </w:r>
          </w:p>
        </w:tc>
        <w:tc>
          <w:tcPr>
            <w:tcW w:w="3864" w:type="dxa"/>
          </w:tcPr>
          <w:p w14:paraId="1031BE64" w14:textId="77777777" w:rsidR="00F55491" w:rsidRPr="006421EA" w:rsidRDefault="00170263"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cập nhật nội dung dự thảo khoản 4 Điều 20</w:t>
            </w:r>
          </w:p>
          <w:p w14:paraId="4199FB24" w14:textId="6EA8A25C" w:rsidR="00170263" w:rsidRPr="006421EA" w:rsidRDefault="00170263"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4. Việc xuất, nhập khẩu tàu bay, động cơ tàu bay, cánh quạt tàu bay và trang thiết bị tàu bay theo quy định tại khoản 1 và khoản 3 Điều 15 của Luật số 130/2025/QH15 được thực hiện theo quy định của pháp luật về hải quan.</w:t>
            </w:r>
          </w:p>
        </w:tc>
      </w:tr>
      <w:tr w:rsidR="006421EA" w:rsidRPr="006421EA" w14:paraId="51199567" w14:textId="77777777" w:rsidTr="00056436">
        <w:tc>
          <w:tcPr>
            <w:tcW w:w="0" w:type="auto"/>
          </w:tcPr>
          <w:p w14:paraId="520813E2" w14:textId="17173283"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iCs/>
                <w:sz w:val="24"/>
                <w:szCs w:val="24"/>
                <w:shd w:val="clear" w:color="auto" w:fill="FFFFFF"/>
              </w:rPr>
              <w:t>Điểm c khoản 5</w:t>
            </w:r>
            <w:r w:rsidRPr="006421EA">
              <w:rPr>
                <w:rFonts w:asciiTheme="majorHAnsi" w:hAnsiTheme="majorHAnsi" w:cstheme="majorHAnsi"/>
                <w:iCs/>
                <w:sz w:val="24"/>
                <w:szCs w:val="24"/>
                <w:shd w:val="clear" w:color="auto" w:fill="FFFFFF"/>
                <w:lang w:val="vi-VN"/>
              </w:rPr>
              <w:t xml:space="preserve"> </w:t>
            </w:r>
            <w:r w:rsidRPr="006421EA">
              <w:rPr>
                <w:rFonts w:asciiTheme="majorHAnsi" w:hAnsiTheme="majorHAnsi" w:cstheme="majorHAnsi"/>
                <w:iCs/>
                <w:sz w:val="24"/>
                <w:szCs w:val="24"/>
                <w:shd w:val="clear" w:color="auto" w:fill="FFFFFF"/>
              </w:rPr>
              <w:t>Điều 23</w:t>
            </w:r>
          </w:p>
        </w:tc>
        <w:tc>
          <w:tcPr>
            <w:tcW w:w="0" w:type="auto"/>
          </w:tcPr>
          <w:p w14:paraId="1AEFA191"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5D9F3703" w14:textId="77777777"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10. Điều 23:</w:t>
            </w:r>
          </w:p>
          <w:p w14:paraId="7615F0B1" w14:textId="400E53FE"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 Điểm c khoản 5: đề nghị nghiên cứu đưa điểm này quy định tại nội dung trình tự giải quyết của từng TTHC để đảm bảo tính thống nhất.</w:t>
            </w:r>
          </w:p>
        </w:tc>
        <w:tc>
          <w:tcPr>
            <w:tcW w:w="3864" w:type="dxa"/>
          </w:tcPr>
          <w:p w14:paraId="6A5F14ED" w14:textId="39B89141" w:rsidR="009A6350" w:rsidRPr="006421EA" w:rsidRDefault="00371909"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Cơ quan soạn thảo đ</w:t>
            </w:r>
            <w:r w:rsidR="009A6350" w:rsidRPr="006421EA">
              <w:rPr>
                <w:rFonts w:asciiTheme="majorHAnsi" w:hAnsiTheme="majorHAnsi" w:cstheme="majorHAnsi"/>
                <w:sz w:val="24"/>
                <w:szCs w:val="24"/>
                <w:lang w:val="vi-VN"/>
              </w:rPr>
              <w:t>ề nghị giữ nguyên</w:t>
            </w:r>
            <w:r w:rsidRPr="006421EA">
              <w:rPr>
                <w:rFonts w:asciiTheme="majorHAnsi" w:hAnsiTheme="majorHAnsi" w:cstheme="majorHAnsi"/>
                <w:sz w:val="24"/>
                <w:szCs w:val="24"/>
                <w:lang w:val="vi-VN"/>
              </w:rPr>
              <w:t xml:space="preserve"> nội dung dự thảo và giải trình như sau</w:t>
            </w:r>
            <w:r w:rsidR="004F3833" w:rsidRPr="006421EA">
              <w:rPr>
                <w:rFonts w:asciiTheme="majorHAnsi" w:hAnsiTheme="majorHAnsi" w:cstheme="majorHAnsi"/>
                <w:sz w:val="24"/>
                <w:szCs w:val="24"/>
                <w:lang w:val="vi-VN"/>
              </w:rPr>
              <w:t>:</w:t>
            </w:r>
          </w:p>
          <w:p w14:paraId="42BFBF45" w14:textId="403F98AD" w:rsidR="009A6350" w:rsidRPr="006421EA" w:rsidRDefault="004F3833"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Các nguyên tắc chỉ áp dụng với mục này và đáp ứng các nghĩa vụ thành viên các công ước Geneva 1948, Cape </w:t>
            </w:r>
            <w:r w:rsidRPr="006421EA">
              <w:rPr>
                <w:rFonts w:asciiTheme="majorHAnsi" w:hAnsiTheme="majorHAnsi" w:cstheme="majorHAnsi"/>
                <w:sz w:val="24"/>
                <w:szCs w:val="24"/>
                <w:lang w:val="vi-VN"/>
              </w:rPr>
              <w:lastRenderedPageBreak/>
              <w:t>Town 2001, Hệ thống VBQPPL hướng dẫn về biện pháp bảo đảm theo pháp luật dân sự của Việt Nam đồng thời phù hợp với kết cấu và thời hạn giải quyết TTHC tại mục này.</w:t>
            </w:r>
          </w:p>
        </w:tc>
      </w:tr>
      <w:tr w:rsidR="006421EA" w:rsidRPr="006421EA" w14:paraId="3C321DD6" w14:textId="77777777" w:rsidTr="00056436">
        <w:tc>
          <w:tcPr>
            <w:tcW w:w="0" w:type="auto"/>
          </w:tcPr>
          <w:p w14:paraId="52557CFD" w14:textId="0257E3E3"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iCs/>
                <w:sz w:val="24"/>
                <w:szCs w:val="24"/>
                <w:shd w:val="clear" w:color="auto" w:fill="FFFFFF"/>
              </w:rPr>
              <w:lastRenderedPageBreak/>
              <w:t xml:space="preserve">Điểm </w:t>
            </w:r>
            <w:r w:rsidRPr="006421EA">
              <w:rPr>
                <w:rFonts w:asciiTheme="majorHAnsi" w:hAnsiTheme="majorHAnsi" w:cstheme="majorHAnsi"/>
                <w:iCs/>
                <w:sz w:val="24"/>
                <w:szCs w:val="24"/>
                <w:shd w:val="clear" w:color="auto" w:fill="FFFFFF"/>
                <w:lang w:val="vi-VN"/>
              </w:rPr>
              <w:t>đ</w:t>
            </w:r>
            <w:r w:rsidRPr="006421EA">
              <w:rPr>
                <w:rFonts w:asciiTheme="majorHAnsi" w:hAnsiTheme="majorHAnsi" w:cstheme="majorHAnsi"/>
                <w:iCs/>
                <w:sz w:val="24"/>
                <w:szCs w:val="24"/>
                <w:shd w:val="clear" w:color="auto" w:fill="FFFFFF"/>
              </w:rPr>
              <w:t xml:space="preserve"> khoản </w:t>
            </w:r>
            <w:r w:rsidRPr="006421EA">
              <w:rPr>
                <w:rFonts w:asciiTheme="majorHAnsi" w:hAnsiTheme="majorHAnsi" w:cstheme="majorHAnsi"/>
                <w:iCs/>
                <w:sz w:val="24"/>
                <w:szCs w:val="24"/>
                <w:shd w:val="clear" w:color="auto" w:fill="FFFFFF"/>
                <w:lang w:val="vi-VN"/>
              </w:rPr>
              <w:t xml:space="preserve">6 </w:t>
            </w:r>
            <w:r w:rsidRPr="006421EA">
              <w:rPr>
                <w:rFonts w:asciiTheme="majorHAnsi" w:hAnsiTheme="majorHAnsi" w:cstheme="majorHAnsi"/>
                <w:iCs/>
                <w:sz w:val="24"/>
                <w:szCs w:val="24"/>
                <w:shd w:val="clear" w:color="auto" w:fill="FFFFFF"/>
              </w:rPr>
              <w:t>Điều 23</w:t>
            </w:r>
          </w:p>
        </w:tc>
        <w:tc>
          <w:tcPr>
            <w:tcW w:w="0" w:type="auto"/>
          </w:tcPr>
          <w:p w14:paraId="34A8DCDD"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4D2DD3CA" w14:textId="7BFFB43B"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 xml:space="preserve">- Điểm đ khoản 6: đề nghị quy định rõ thời điểm Cục HKVN thông báo nộp phí để làm căn cứ tính tổng thời gian giải quyết TTHC. Ngoài ra, quy định </w:t>
            </w:r>
            <w:r w:rsidRPr="006421EA">
              <w:rPr>
                <w:rFonts w:asciiTheme="majorHAnsi" w:hAnsiTheme="majorHAnsi" w:cstheme="majorHAnsi"/>
                <w:i/>
                <w:sz w:val="24"/>
                <w:szCs w:val="24"/>
                <w:shd w:val="clear" w:color="auto" w:fill="FFFFFF"/>
                <w:lang w:val="vi-VN"/>
              </w:rPr>
              <w:t xml:space="preserve">“quá thời hạn nêu trên mà tổ chức, cá nhân không hoàn thành nghĩa vụ tài chính theo quy định, Cục Hàng không Việt Nam từ </w:t>
            </w:r>
            <w:r w:rsidRPr="006421EA">
              <w:rPr>
                <w:rFonts w:asciiTheme="majorHAnsi" w:hAnsiTheme="majorHAnsi" w:cstheme="majorHAnsi"/>
                <w:b/>
                <w:bCs/>
                <w:i/>
                <w:sz w:val="24"/>
                <w:szCs w:val="24"/>
                <w:u w:val="single"/>
                <w:shd w:val="clear" w:color="auto" w:fill="FFFFFF"/>
                <w:lang w:val="vi-VN"/>
              </w:rPr>
              <w:t>chối tiếp nhận,</w:t>
            </w:r>
            <w:r w:rsidRPr="006421EA">
              <w:rPr>
                <w:rFonts w:asciiTheme="majorHAnsi" w:hAnsiTheme="majorHAnsi" w:cstheme="majorHAnsi"/>
                <w:i/>
                <w:sz w:val="24"/>
                <w:szCs w:val="24"/>
                <w:shd w:val="clear" w:color="auto" w:fill="FFFFFF"/>
                <w:lang w:val="vi-VN"/>
              </w:rPr>
              <w:t xml:space="preserve"> giải quyết thủ tục hành chính và thông báo cho tổ chức, cá nhân nêu rõ lý do”</w:t>
            </w:r>
            <w:r w:rsidRPr="006421EA">
              <w:rPr>
                <w:rFonts w:asciiTheme="majorHAnsi" w:hAnsiTheme="majorHAnsi" w:cstheme="majorHAnsi"/>
                <w:iCs/>
                <w:sz w:val="24"/>
                <w:szCs w:val="24"/>
                <w:shd w:val="clear" w:color="auto" w:fill="FFFFFF"/>
                <w:lang w:val="vi-VN"/>
              </w:rPr>
              <w:t xml:space="preserve"> là chưa phù hợp do ở thời điểm thông báo thu phí, Cục HKVN đã tiếp nhận hồ sơ TTHC</w:t>
            </w:r>
            <w:r w:rsidRPr="006421EA">
              <w:rPr>
                <w:rFonts w:asciiTheme="majorHAnsi" w:hAnsiTheme="majorHAnsi" w:cstheme="majorHAnsi"/>
                <w:i/>
                <w:sz w:val="24"/>
                <w:szCs w:val="24"/>
                <w:shd w:val="clear" w:color="auto" w:fill="FFFFFF"/>
                <w:lang w:val="vi-VN"/>
              </w:rPr>
              <w:t>.</w:t>
            </w:r>
          </w:p>
        </w:tc>
        <w:tc>
          <w:tcPr>
            <w:tcW w:w="3864" w:type="dxa"/>
          </w:tcPr>
          <w:p w14:paraId="7DDE94BF" w14:textId="77777777" w:rsidR="00B5564F" w:rsidRPr="006421EA" w:rsidRDefault="003434C0"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Bộ Xây dựng tiếp thu giải trình như sau:</w:t>
            </w:r>
          </w:p>
          <w:p w14:paraId="7222CD7D" w14:textId="4D8E1199" w:rsidR="003434C0" w:rsidRPr="006421EA" w:rsidRDefault="003434C0"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Đối với các thủ tục hành chính có yêu cầu nộp phí, trong vòng 01 ngày kể từ ngày nhận đủ hồ sơ theo quy định, cơ quan giải quyết thủ tục hành chính gửi thông báo thu phí đến người nộp hồ sơ, việc nộp phí được thực hiện trong thời hạn 03 ngày làm việc kể từ ngày cơ quan giải quyết thủ tục hành chính gửi thông báo nộp phí. Quá thời hạn nêu trên mà doanh nghiệp không hoàn thành nghĩa vụ tài chính theo quy định, cơ quan giải quyết thủ tục hành chính từ chối giải quyết thủ tục hành chính và thông báo cho tổ chức, cá nhân nêu rõ lý do. Thời gian thực hiện việc nộp phí của doanh nghiệp không tính vào thời gian giải quyết thủ tục hành chính.</w:t>
            </w:r>
          </w:p>
        </w:tc>
      </w:tr>
      <w:tr w:rsidR="006421EA" w:rsidRPr="006421EA" w14:paraId="4661523F" w14:textId="77777777" w:rsidTr="00056436">
        <w:tc>
          <w:tcPr>
            <w:tcW w:w="0" w:type="auto"/>
          </w:tcPr>
          <w:p w14:paraId="2714AF15" w14:textId="7DAD23AB"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Điều 37</w:t>
            </w:r>
          </w:p>
        </w:tc>
        <w:tc>
          <w:tcPr>
            <w:tcW w:w="0" w:type="auto"/>
          </w:tcPr>
          <w:p w14:paraId="5F8D8A73"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5405451A" w14:textId="4B3CE487"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 xml:space="preserve">11. Điểm 37: Điều này đang quy định về yêu cầu đối với người khai thác tàu bay, việc đáp ứng các yêu cầu này sẽ là một cơ sở để được Nhà chức trách hàng không VN cấp GCN người khai thác tàu bay. Do đó, đề nghị cơ quan soạn thảo nghiên cứu, xem </w:t>
            </w:r>
            <w:r w:rsidRPr="006421EA">
              <w:rPr>
                <w:rFonts w:asciiTheme="majorHAnsi" w:hAnsiTheme="majorHAnsi" w:cstheme="majorHAnsi"/>
                <w:iCs/>
                <w:sz w:val="24"/>
                <w:szCs w:val="24"/>
                <w:shd w:val="clear" w:color="auto" w:fill="FFFFFF"/>
                <w:lang w:val="vi-VN"/>
              </w:rPr>
              <w:lastRenderedPageBreak/>
              <w:t xml:space="preserve">lại quy định: </w:t>
            </w:r>
            <w:r w:rsidRPr="006421EA">
              <w:rPr>
                <w:rFonts w:asciiTheme="majorHAnsi" w:hAnsiTheme="majorHAnsi" w:cstheme="majorHAnsi"/>
                <w:i/>
                <w:sz w:val="24"/>
                <w:szCs w:val="24"/>
                <w:shd w:val="clear" w:color="auto" w:fill="FFFFFF"/>
                <w:lang w:val="vi-VN"/>
              </w:rPr>
              <w:t xml:space="preserve">việc sử dụng thiết bị huấn luyện giả định được Nhà chức trách hàng không VN </w:t>
            </w:r>
            <w:r w:rsidRPr="006421EA">
              <w:rPr>
                <w:rFonts w:asciiTheme="majorHAnsi" w:hAnsiTheme="majorHAnsi" w:cstheme="majorHAnsi"/>
                <w:b/>
                <w:bCs/>
                <w:i/>
                <w:sz w:val="24"/>
                <w:szCs w:val="24"/>
                <w:shd w:val="clear" w:color="auto" w:fill="FFFFFF"/>
                <w:lang w:val="vi-VN"/>
              </w:rPr>
              <w:t>phê chuẩn</w:t>
            </w:r>
            <w:r w:rsidRPr="006421EA">
              <w:rPr>
                <w:rFonts w:asciiTheme="majorHAnsi" w:hAnsiTheme="majorHAnsi" w:cstheme="majorHAnsi"/>
                <w:i/>
                <w:sz w:val="24"/>
                <w:szCs w:val="24"/>
                <w:shd w:val="clear" w:color="auto" w:fill="FFFFFF"/>
                <w:lang w:val="vi-VN"/>
              </w:rPr>
              <w:t xml:space="preserve">; tài liệu an toàn bay phải được Nhà chức trách hàng không VN </w:t>
            </w:r>
            <w:r w:rsidRPr="006421EA">
              <w:rPr>
                <w:rFonts w:asciiTheme="majorHAnsi" w:hAnsiTheme="majorHAnsi" w:cstheme="majorHAnsi"/>
                <w:b/>
                <w:bCs/>
                <w:i/>
                <w:sz w:val="24"/>
                <w:szCs w:val="24"/>
                <w:shd w:val="clear" w:color="auto" w:fill="FFFFFF"/>
                <w:lang w:val="vi-VN"/>
              </w:rPr>
              <w:t xml:space="preserve">phê chuẩn </w:t>
            </w:r>
            <w:r w:rsidRPr="006421EA">
              <w:rPr>
                <w:rFonts w:asciiTheme="majorHAnsi" w:hAnsiTheme="majorHAnsi" w:cstheme="majorHAnsi"/>
                <w:iCs/>
                <w:sz w:val="24"/>
                <w:szCs w:val="24"/>
                <w:shd w:val="clear" w:color="auto" w:fill="FFFFFF"/>
                <w:lang w:val="vi-VN"/>
              </w:rPr>
              <w:t>tại điểm c khoản 1 và điểm a khoản 2 điều này để tránh</w:t>
            </w:r>
            <w:r w:rsidRPr="006421EA">
              <w:rPr>
                <w:rFonts w:asciiTheme="majorHAnsi" w:hAnsiTheme="majorHAnsi" w:cstheme="majorHAnsi"/>
                <w:i/>
                <w:sz w:val="24"/>
                <w:szCs w:val="24"/>
                <w:shd w:val="clear" w:color="auto" w:fill="FFFFFF"/>
                <w:lang w:val="vi-VN"/>
              </w:rPr>
              <w:t xml:space="preserve"> </w:t>
            </w:r>
            <w:r w:rsidRPr="006421EA">
              <w:rPr>
                <w:rFonts w:asciiTheme="majorHAnsi" w:hAnsiTheme="majorHAnsi" w:cstheme="majorHAnsi"/>
                <w:iCs/>
                <w:sz w:val="24"/>
                <w:szCs w:val="24"/>
                <w:shd w:val="clear" w:color="auto" w:fill="FFFFFF"/>
                <w:lang w:val="vi-VN"/>
              </w:rPr>
              <w:t>phát sinh TTHC con trong TTHC Cấp Giấy chứng nhận người khai thác tàu bay. Tương tự, đề nghị cơ quan soạn thảo nghiên cứu, xem lại quy định tại điểm g khoản 2 Điều 52; điểm h khoản 2 Điều 57 của dự thảo Nghị định.</w:t>
            </w:r>
          </w:p>
        </w:tc>
        <w:tc>
          <w:tcPr>
            <w:tcW w:w="3864" w:type="dxa"/>
          </w:tcPr>
          <w:p w14:paraId="37362FCC" w14:textId="18CFE92E" w:rsidR="00814944" w:rsidRPr="006421EA" w:rsidRDefault="0081494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 xml:space="preserve">Tiếp thu ý kiến và </w:t>
            </w:r>
            <w:r w:rsidR="006A3CCE" w:rsidRPr="006421EA">
              <w:rPr>
                <w:rFonts w:asciiTheme="majorHAnsi" w:hAnsiTheme="majorHAnsi" w:cstheme="majorHAnsi"/>
                <w:sz w:val="24"/>
                <w:szCs w:val="24"/>
                <w:lang w:val="vi-VN"/>
              </w:rPr>
              <w:t>giải trình như sau:</w:t>
            </w:r>
          </w:p>
          <w:p w14:paraId="66CE43AF" w14:textId="77777777" w:rsidR="006A3CCE" w:rsidRPr="006421EA" w:rsidRDefault="006A3CCE"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Cơ quan chủ trì soạn thảo xin giải trình như sau: các nội dung như thiết bị huấn luyện giả định, tài liệu an toàn bay và các nội dung tương tự tại điểm g khoản 2 Điều 52, điểm h khoản 2 </w:t>
            </w:r>
            <w:r w:rsidRPr="006421EA">
              <w:rPr>
                <w:rFonts w:asciiTheme="majorHAnsi" w:hAnsiTheme="majorHAnsi" w:cstheme="majorHAnsi"/>
                <w:sz w:val="24"/>
                <w:szCs w:val="24"/>
                <w:lang w:val="vi-VN"/>
              </w:rPr>
              <w:lastRenderedPageBreak/>
              <w:t>Điều 57 là các thành tố thuộc hồ sơ, điều kiện và nội dung đánh giá trong quá trình xem xét cấp Giấy chứng nhận người khai thác tàu bay. Việc “phê chuẩn” đối với các nội dung này được thực hiện ngay trong quá trình thẩm định, đánh giá để cấp Giấy chứng nhận người khai thác tàu bay, không phải là một thủ tục hành chính độc lập, tách biệt với thủ tục cấp Giấy chứng nhận người khai thác tàu bay.</w:t>
            </w:r>
          </w:p>
          <w:p w14:paraId="6455B4DF" w14:textId="4233CE8D" w:rsidR="006A3CCE" w:rsidRPr="006421EA" w:rsidRDefault="006A3CCE"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Cách quy định này cũng phù hợp với hướng dẫn của ICAO về quy trình chứng nhận người khai thác tàu bay, theo đó việc xem xét, đánh giá và phê chuẩn các tài liệu, chương trình huấn luyện, hướng dẫn khai thác và các nội dung kỹ thuật liên quan được thực hiện như một phần của quá trình chứng nhận và giám sát người khai thác, không nhất thiết được thiết kế thành các thủ tục hành chính riêng biệt.</w:t>
            </w:r>
          </w:p>
          <w:p w14:paraId="6938E2CA" w14:textId="1991A9F2" w:rsidR="00814944" w:rsidRPr="006421EA" w:rsidRDefault="00814944" w:rsidP="006421EA">
            <w:pPr>
              <w:spacing w:before="120" w:after="120"/>
              <w:rPr>
                <w:rFonts w:asciiTheme="majorHAnsi" w:hAnsiTheme="majorHAnsi" w:cstheme="majorHAnsi"/>
                <w:sz w:val="24"/>
                <w:szCs w:val="24"/>
                <w:lang w:val="vi-VN"/>
              </w:rPr>
            </w:pPr>
          </w:p>
        </w:tc>
      </w:tr>
      <w:tr w:rsidR="006421EA" w:rsidRPr="006421EA" w14:paraId="1F88E44C" w14:textId="77777777" w:rsidTr="00056436">
        <w:tc>
          <w:tcPr>
            <w:tcW w:w="0" w:type="auto"/>
          </w:tcPr>
          <w:p w14:paraId="3E8D1587" w14:textId="5045A5CA"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iCs/>
                <w:sz w:val="24"/>
                <w:szCs w:val="24"/>
                <w:shd w:val="clear" w:color="auto" w:fill="FFFFFF"/>
              </w:rPr>
              <w:lastRenderedPageBreak/>
              <w:t>Khoản 4 Điều 40</w:t>
            </w:r>
          </w:p>
        </w:tc>
        <w:tc>
          <w:tcPr>
            <w:tcW w:w="0" w:type="auto"/>
          </w:tcPr>
          <w:p w14:paraId="457FA267"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4C861266" w14:textId="5B124FAD"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 xml:space="preserve">12. Khoản 4 Điều 40: đề nghị cơ quan soạn thảo nghiên cứu, quy định đầy đủ TTHC Cấp GCN người khai thác tàu bay nước ngoài tại Việt Nam vào dự thảo Nghị định để đảm bảo tính thống nhất vì hiện nay các TTHC về cấp GCN người khai thác tàu bay đang được quy định tại Điều 49, 50 của dự </w:t>
            </w:r>
            <w:r w:rsidRPr="006421EA">
              <w:rPr>
                <w:rFonts w:asciiTheme="majorHAnsi" w:hAnsiTheme="majorHAnsi" w:cstheme="majorHAnsi"/>
                <w:iCs/>
                <w:sz w:val="24"/>
                <w:szCs w:val="24"/>
                <w:shd w:val="clear" w:color="auto" w:fill="FFFFFF"/>
                <w:lang w:val="vi-VN"/>
              </w:rPr>
              <w:lastRenderedPageBreak/>
              <w:t>thảo Nghị định.</w:t>
            </w:r>
          </w:p>
        </w:tc>
        <w:tc>
          <w:tcPr>
            <w:tcW w:w="3864" w:type="dxa"/>
          </w:tcPr>
          <w:p w14:paraId="68C65427" w14:textId="522A1E19" w:rsidR="009646C3" w:rsidRPr="006421EA" w:rsidRDefault="009646C3"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Tiếp thu và xin giải trình như sau:</w:t>
            </w:r>
          </w:p>
          <w:p w14:paraId="4E7CA9BF" w14:textId="1B9738DB" w:rsidR="001E5123" w:rsidRPr="006421EA" w:rsidRDefault="009646C3"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Hiện nay dự thảo đang quy định Chính phủ giao Bộ Xây dựng quy định chi tiết các TTHC này vì các nội dung này không phải là các điều kiện kinh doanh theo quy định của Luật đầu tư và Luật Hàng không dân dụng.</w:t>
            </w:r>
          </w:p>
        </w:tc>
      </w:tr>
      <w:tr w:rsidR="006421EA" w:rsidRPr="006421EA" w14:paraId="0F542B51" w14:textId="77777777" w:rsidTr="00056436">
        <w:tc>
          <w:tcPr>
            <w:tcW w:w="0" w:type="auto"/>
          </w:tcPr>
          <w:p w14:paraId="157EC776" w14:textId="49257E24" w:rsidR="00F55491" w:rsidRPr="006421EA" w:rsidRDefault="0082370C" w:rsidP="006421EA">
            <w:pPr>
              <w:spacing w:before="120" w:after="120"/>
              <w:rPr>
                <w:rFonts w:asciiTheme="majorHAnsi" w:hAnsiTheme="majorHAnsi" w:cstheme="majorHAnsi"/>
                <w:sz w:val="24"/>
                <w:szCs w:val="24"/>
                <w:lang w:val="vi-VN"/>
              </w:rPr>
            </w:pPr>
            <w:r w:rsidRPr="006421EA">
              <w:rPr>
                <w:rFonts w:asciiTheme="majorHAnsi" w:hAnsiTheme="majorHAnsi" w:cstheme="majorHAnsi"/>
                <w:iCs/>
                <w:sz w:val="24"/>
                <w:szCs w:val="24"/>
                <w:shd w:val="clear" w:color="auto" w:fill="FFFFFF"/>
              </w:rPr>
              <w:lastRenderedPageBreak/>
              <w:t xml:space="preserve">Khoản 5 Điều </w:t>
            </w:r>
            <w:r w:rsidRPr="006421EA">
              <w:rPr>
                <w:rFonts w:asciiTheme="majorHAnsi" w:hAnsiTheme="majorHAnsi" w:cstheme="majorHAnsi"/>
                <w:iCs/>
                <w:strike/>
                <w:sz w:val="24"/>
                <w:szCs w:val="24"/>
                <w:shd w:val="clear" w:color="auto" w:fill="FFFFFF"/>
              </w:rPr>
              <w:t>48</w:t>
            </w:r>
            <w:r w:rsidR="00375FE7" w:rsidRPr="006421EA">
              <w:rPr>
                <w:rFonts w:asciiTheme="majorHAnsi" w:hAnsiTheme="majorHAnsi" w:cstheme="majorHAnsi"/>
                <w:iCs/>
                <w:strike/>
                <w:sz w:val="24"/>
                <w:szCs w:val="24"/>
                <w:shd w:val="clear" w:color="auto" w:fill="FFFFFF"/>
                <w:lang w:val="vi-VN"/>
              </w:rPr>
              <w:t xml:space="preserve"> </w:t>
            </w:r>
            <w:r w:rsidR="00375FE7" w:rsidRPr="006421EA">
              <w:rPr>
                <w:rFonts w:asciiTheme="majorHAnsi" w:hAnsiTheme="majorHAnsi" w:cstheme="majorHAnsi"/>
                <w:iCs/>
                <w:sz w:val="24"/>
                <w:szCs w:val="24"/>
                <w:shd w:val="clear" w:color="auto" w:fill="FFFFFF"/>
                <w:lang w:val="vi-VN"/>
              </w:rPr>
              <w:t>44</w:t>
            </w:r>
          </w:p>
        </w:tc>
        <w:tc>
          <w:tcPr>
            <w:tcW w:w="0" w:type="auto"/>
          </w:tcPr>
          <w:p w14:paraId="3BB6B80F"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6BBFE825" w14:textId="6F5996F8"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 xml:space="preserve">13. Khoản 5 Điều </w:t>
            </w:r>
            <w:r w:rsidRPr="006421EA">
              <w:rPr>
                <w:rFonts w:asciiTheme="majorHAnsi" w:hAnsiTheme="majorHAnsi" w:cstheme="majorHAnsi"/>
                <w:iCs/>
                <w:strike/>
                <w:sz w:val="24"/>
                <w:szCs w:val="24"/>
                <w:shd w:val="clear" w:color="auto" w:fill="FFFFFF"/>
                <w:lang w:val="vi-VN"/>
              </w:rPr>
              <w:t>48</w:t>
            </w:r>
            <w:r w:rsidR="00375FE7" w:rsidRPr="006421EA">
              <w:rPr>
                <w:rFonts w:asciiTheme="majorHAnsi" w:hAnsiTheme="majorHAnsi" w:cstheme="majorHAnsi"/>
                <w:iCs/>
                <w:strike/>
                <w:sz w:val="24"/>
                <w:szCs w:val="24"/>
                <w:shd w:val="clear" w:color="auto" w:fill="FFFFFF"/>
                <w:lang w:val="vi-VN"/>
              </w:rPr>
              <w:t xml:space="preserve"> </w:t>
            </w:r>
            <w:r w:rsidR="00375FE7" w:rsidRPr="006421EA">
              <w:rPr>
                <w:rFonts w:asciiTheme="majorHAnsi" w:hAnsiTheme="majorHAnsi" w:cstheme="majorHAnsi"/>
                <w:iCs/>
                <w:sz w:val="24"/>
                <w:szCs w:val="24"/>
                <w:shd w:val="clear" w:color="auto" w:fill="FFFFFF"/>
                <w:lang w:val="vi-VN"/>
              </w:rPr>
              <w:t>44</w:t>
            </w:r>
            <w:r w:rsidRPr="006421EA">
              <w:rPr>
                <w:rFonts w:asciiTheme="majorHAnsi" w:hAnsiTheme="majorHAnsi" w:cstheme="majorHAnsi"/>
                <w:iCs/>
                <w:sz w:val="24"/>
                <w:szCs w:val="24"/>
                <w:shd w:val="clear" w:color="auto" w:fill="FFFFFF"/>
                <w:lang w:val="vi-VN"/>
              </w:rPr>
              <w:t xml:space="preserve">: đề nghị cơ quan soạn thảo ràm rõ quy định về </w:t>
            </w:r>
            <w:r w:rsidRPr="006421EA">
              <w:rPr>
                <w:rFonts w:asciiTheme="majorHAnsi" w:hAnsiTheme="majorHAnsi" w:cstheme="majorHAnsi"/>
                <w:i/>
                <w:sz w:val="24"/>
                <w:szCs w:val="24"/>
                <w:shd w:val="clear" w:color="auto" w:fill="FFFFFF"/>
                <w:lang w:val="vi-VN"/>
              </w:rPr>
              <w:t>“Nhà chức trách hàng không Việt Nam chấp thuận bằng văn bản” được thực hiện theo quy trình nào, quy định ở đâu?</w:t>
            </w:r>
          </w:p>
        </w:tc>
        <w:tc>
          <w:tcPr>
            <w:tcW w:w="3864" w:type="dxa"/>
          </w:tcPr>
          <w:p w14:paraId="3E983A62" w14:textId="77777777" w:rsidR="00A4255A" w:rsidRPr="006421EA" w:rsidRDefault="00A4255A"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giải trình.</w:t>
            </w:r>
          </w:p>
          <w:p w14:paraId="71049D63" w14:textId="77777777" w:rsidR="00A4255A" w:rsidRPr="006421EA" w:rsidRDefault="00A4255A"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Cơ quan chủ trì soạn thảo xin giải trình như sau: nội dung tại khoản 5 không đặt ra một thủ tục hành chính đối với tổ chức, cá nhân có liên quan, mà quy định thẩm quyền và căn cứ xử lý của Nhà chức trách hàng không Việt Nam đối với việc cho phép chuyến bay bị đình chỉ được tiếp tục thực hiện.</w:t>
            </w:r>
          </w:p>
          <w:p w14:paraId="5AAAC6C1" w14:textId="77777777" w:rsidR="00A4255A" w:rsidRPr="006421EA" w:rsidRDefault="00A4255A"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Theo đó, sau khi nguyên nhân dẫn đến việc đình chỉ đã được khắc phục, việc chấp thuận cho chuyến bay tiếp tục thực hiện là hoạt động quản lý nhà nước, đánh giá và quyết định của Nhà chức trách hàng không Việt Nam trên cơ sở xem xét điều kiện an toàn, an ninh và các thông tin, xác nhận của cơ quan có thẩm quyền liên quan. Trường hợp liên quan đến an ninh hàng không, quốc phòng hoặc an ninh quốc gia, Nhà chức trách hàng không Việt Nam thực hiện việc chấp thuận trên cơ sở thông báo của cơ quan có thẩm quyền trong lĩnh vực tương ứng.</w:t>
            </w:r>
          </w:p>
          <w:p w14:paraId="3C39C555" w14:textId="2A978C8C" w:rsidR="00F55491" w:rsidRPr="006421EA" w:rsidRDefault="00A4255A"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Như vậy, quy định này nhằm xác định rõ cơ chế phối hợp giữa các cơ quan nhà nước có thẩm quyền và thẩm quyền quyết định của Nhà chức trách hàng không Việt Nam, không phải là quy định về hồ sơ, trình tự, thủ tục </w:t>
            </w:r>
            <w:r w:rsidRPr="006421EA">
              <w:rPr>
                <w:rFonts w:asciiTheme="majorHAnsi" w:hAnsiTheme="majorHAnsi" w:cstheme="majorHAnsi"/>
                <w:sz w:val="24"/>
                <w:szCs w:val="24"/>
                <w:lang w:val="vi-VN"/>
              </w:rPr>
              <w:lastRenderedPageBreak/>
              <w:t>hành chính do tổ chức, cá nhân nộp và yêu cầu giải quyết theo nghĩa thông thường.</w:t>
            </w:r>
          </w:p>
        </w:tc>
      </w:tr>
      <w:tr w:rsidR="006421EA" w:rsidRPr="006421EA" w14:paraId="4526B762" w14:textId="77777777" w:rsidTr="00056436">
        <w:tc>
          <w:tcPr>
            <w:tcW w:w="0" w:type="auto"/>
          </w:tcPr>
          <w:p w14:paraId="52750672" w14:textId="504389B4"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iCs/>
                <w:sz w:val="24"/>
                <w:szCs w:val="24"/>
                <w:shd w:val="clear" w:color="auto" w:fill="FFFFFF"/>
              </w:rPr>
              <w:lastRenderedPageBreak/>
              <w:t>Điểm b khoản 2 Điều 49</w:t>
            </w:r>
          </w:p>
        </w:tc>
        <w:tc>
          <w:tcPr>
            <w:tcW w:w="0" w:type="auto"/>
          </w:tcPr>
          <w:p w14:paraId="6E8523C5"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04BA2D0A" w14:textId="780AD88C"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14.</w:t>
            </w:r>
            <w:r w:rsidRPr="006421EA">
              <w:rPr>
                <w:rFonts w:asciiTheme="majorHAnsi" w:hAnsiTheme="majorHAnsi" w:cstheme="majorHAnsi"/>
                <w:i/>
                <w:sz w:val="24"/>
                <w:szCs w:val="24"/>
                <w:shd w:val="clear" w:color="auto" w:fill="FFFFFF"/>
                <w:lang w:val="vi-VN"/>
              </w:rPr>
              <w:t xml:space="preserve"> </w:t>
            </w:r>
            <w:r w:rsidRPr="006421EA">
              <w:rPr>
                <w:rFonts w:asciiTheme="majorHAnsi" w:hAnsiTheme="majorHAnsi" w:cstheme="majorHAnsi"/>
                <w:iCs/>
                <w:sz w:val="24"/>
                <w:szCs w:val="24"/>
                <w:shd w:val="clear" w:color="auto" w:fill="FFFFFF"/>
                <w:lang w:val="vi-VN"/>
              </w:rPr>
              <w:t>Điểm b khoản 2 Điều 49: để tạo điều kiện thuận lợi cho người dân, doanh nghiệp cũng như thực hiện chỉ đạo của Chính phủ, Thủ tướng Chính phủ về đơn giản hóa TTHC, đề nghị cơ quan soạn thảo nghiên cứu quy định theo hướng: cơ quan nhà nước phải xây dựng Cơ sở dữ liệu các loại giấy tờ đã cấp cho người dân, doanh nghiệp, không yêu cầu người dân, doanh nghiệp phải nộp lại các giấy tờ do Cục HKVN cấp mà chỉ yêu cầu doanh nghiệp kê khai số Giấy chứng nhận vào văn bản/đơn đề nghị và Cục HKVN sẽ tự tra cứu trong quá trình giải quyết TTHC</w:t>
            </w:r>
            <w:r w:rsidRPr="006421EA">
              <w:rPr>
                <w:rFonts w:asciiTheme="majorHAnsi" w:hAnsiTheme="majorHAnsi" w:cstheme="majorHAnsi"/>
                <w:i/>
                <w:sz w:val="24"/>
                <w:szCs w:val="24"/>
                <w:shd w:val="clear" w:color="auto" w:fill="FFFFFF"/>
                <w:lang w:val="vi-VN"/>
              </w:rPr>
              <w:t xml:space="preserve">. </w:t>
            </w:r>
            <w:r w:rsidRPr="006421EA">
              <w:rPr>
                <w:rFonts w:asciiTheme="majorHAnsi" w:hAnsiTheme="majorHAnsi" w:cstheme="majorHAnsi"/>
                <w:iCs/>
                <w:sz w:val="24"/>
                <w:szCs w:val="24"/>
                <w:shd w:val="clear" w:color="auto" w:fill="FFFFFF"/>
                <w:lang w:val="vi-VN"/>
              </w:rPr>
              <w:t>Tương tự, đề nghị cơ quan soạn thảo rà soát các hồ sơ TTHC tại dự thảo Nghị định để quy định theo hướng như góp ý nêu trên.</w:t>
            </w:r>
          </w:p>
        </w:tc>
        <w:tc>
          <w:tcPr>
            <w:tcW w:w="3864" w:type="dxa"/>
          </w:tcPr>
          <w:p w14:paraId="1B3BB84F" w14:textId="77777777" w:rsidR="00814944" w:rsidRPr="006421EA" w:rsidRDefault="00814944"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Tiếp thu ý kiến và sửa đổi, bổ sung dự thảo</w:t>
            </w:r>
          </w:p>
          <w:p w14:paraId="331A2B36" w14:textId="77777777" w:rsidR="00EE4137" w:rsidRPr="006421EA" w:rsidRDefault="00EE4137"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2. Hồ sơ đề nghị cấp Giấy chứng nhận người khai thác tàu bay, bao gồm:</w:t>
            </w:r>
          </w:p>
          <w:p w14:paraId="0DF87A81" w14:textId="77777777" w:rsidR="00EE4137" w:rsidRPr="006421EA" w:rsidRDefault="00EE4137"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a) Đơn đề nghị cấp Giấy chứng nhận người khai thác tàu bay theo Mẫu số 19 Phụ lục ban hành kèm theo Nghị định này;</w:t>
            </w:r>
          </w:p>
          <w:p w14:paraId="10807012" w14:textId="77777777" w:rsidR="00EE4137" w:rsidRPr="006421EA" w:rsidRDefault="00EE4137"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b) Hệ thống tài liệu hướng dẫn khai thác, bảo dưỡng, an ninh, an toàn;</w:t>
            </w:r>
          </w:p>
          <w:p w14:paraId="2A5827C6" w14:textId="77777777" w:rsidR="00EE4137" w:rsidRPr="006421EA" w:rsidRDefault="00EE4137"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c) Hồ sơ nhân sự theo quy định tại Điều 38 của Nghị định này;</w:t>
            </w:r>
          </w:p>
          <w:p w14:paraId="755E7E78" w14:textId="12FAAA7A" w:rsidR="00814944" w:rsidRPr="006421EA" w:rsidRDefault="00EE4137"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d) Các hợp đồng mua bán/ thuê tàu bay, hợp đồng cung cấp dịch vụ của bên thứ ba.</w:t>
            </w:r>
          </w:p>
        </w:tc>
      </w:tr>
      <w:tr w:rsidR="006421EA" w:rsidRPr="006421EA" w14:paraId="0432DB12" w14:textId="77777777" w:rsidTr="00056436">
        <w:tc>
          <w:tcPr>
            <w:tcW w:w="0" w:type="auto"/>
          </w:tcPr>
          <w:p w14:paraId="4F003F1C" w14:textId="65048F92" w:rsidR="00F55491" w:rsidRPr="006421EA" w:rsidRDefault="0082370C" w:rsidP="006421EA">
            <w:pPr>
              <w:spacing w:before="120" w:after="120"/>
              <w:rPr>
                <w:rFonts w:asciiTheme="majorHAnsi" w:hAnsiTheme="majorHAnsi" w:cstheme="majorHAnsi"/>
                <w:sz w:val="24"/>
                <w:szCs w:val="24"/>
              </w:rPr>
            </w:pPr>
            <w:r w:rsidRPr="006421EA">
              <w:rPr>
                <w:rFonts w:asciiTheme="majorHAnsi" w:hAnsiTheme="majorHAnsi" w:cstheme="majorHAnsi"/>
                <w:iCs/>
                <w:sz w:val="24"/>
                <w:szCs w:val="24"/>
                <w:shd w:val="clear" w:color="auto" w:fill="FFFFFF"/>
              </w:rPr>
              <w:t>Khoản 1 Điều 54</w:t>
            </w:r>
          </w:p>
        </w:tc>
        <w:tc>
          <w:tcPr>
            <w:tcW w:w="0" w:type="auto"/>
          </w:tcPr>
          <w:p w14:paraId="5781FF6B"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31309B71" w14:textId="2505315E"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 xml:space="preserve">15. Khoản 1 Điều 54: đề nghị quy định biểu mẫu Giấy chứng nhận Tổ chức bảo dưỡng tại Nghị định này mà không giao Bộ trưởng Bộ Xây dựng ban hành để đảm bảo tính thống nhất, tạo điều kiện thuận lợi cho người dân, doanh nghiệp trong nghiên cứu, thực hiện TTHC vì TTHC cấp GCN tổ chức bảo dưỡng đã quy định đầy đủ tại Điều 55 và 56 của dự thảo Nghị định. Tương tự, đề nghị cơ </w:t>
            </w:r>
            <w:r w:rsidRPr="006421EA">
              <w:rPr>
                <w:rFonts w:asciiTheme="majorHAnsi" w:hAnsiTheme="majorHAnsi" w:cstheme="majorHAnsi"/>
                <w:iCs/>
                <w:sz w:val="24"/>
                <w:szCs w:val="24"/>
                <w:shd w:val="clear" w:color="auto" w:fill="FFFFFF"/>
                <w:lang w:val="vi-VN"/>
              </w:rPr>
              <w:lastRenderedPageBreak/>
              <w:t>quan soạn thảo quy định mẫu GCN tổ chức sản xuất tại khoản 1 Điều 64 vào thảo Nghị định này.</w:t>
            </w:r>
          </w:p>
        </w:tc>
        <w:tc>
          <w:tcPr>
            <w:tcW w:w="3864" w:type="dxa"/>
          </w:tcPr>
          <w:p w14:paraId="30C80349" w14:textId="5F15EBC6" w:rsidR="00F55491" w:rsidRPr="006421EA" w:rsidRDefault="00375FE7"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lastRenderedPageBreak/>
              <w:t>Tiếp thu ý kiến và đã bổ sung đầy đủ mẫu giấy chứng nhận tại Phụ lục kèm theo Nghị định</w:t>
            </w:r>
          </w:p>
        </w:tc>
      </w:tr>
      <w:tr w:rsidR="006421EA" w:rsidRPr="006421EA" w14:paraId="1CC227B5" w14:textId="77777777" w:rsidTr="00056436">
        <w:tc>
          <w:tcPr>
            <w:tcW w:w="0" w:type="auto"/>
          </w:tcPr>
          <w:p w14:paraId="5388E03D"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450F77D9"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5A6706D8" w14:textId="77777777"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16. Đối với Phụ lục các TTHC tại Biểu mẫu đánh giá TTHC, việc phân quyền, phân cấp, bảo đảm bình đẳng giới:</w:t>
            </w:r>
          </w:p>
          <w:p w14:paraId="7D75AB0D" w14:textId="3D7E6782"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 xml:space="preserve">- Đề nghị sửa phần ghi chú “Không thay đổi” thành </w:t>
            </w:r>
            <w:r w:rsidRPr="006421EA">
              <w:rPr>
                <w:rFonts w:asciiTheme="majorHAnsi" w:hAnsiTheme="majorHAnsi" w:cstheme="majorHAnsi"/>
                <w:i/>
                <w:sz w:val="24"/>
                <w:szCs w:val="24"/>
                <w:shd w:val="clear" w:color="auto" w:fill="FFFFFF"/>
                <w:lang w:val="vi-VN"/>
              </w:rPr>
              <w:t>“giữ nguyên”</w:t>
            </w:r>
          </w:p>
        </w:tc>
        <w:tc>
          <w:tcPr>
            <w:tcW w:w="3864" w:type="dxa"/>
          </w:tcPr>
          <w:p w14:paraId="26300F28" w14:textId="634D6E92" w:rsidR="00F55491" w:rsidRPr="006421EA" w:rsidRDefault="002272C1"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Đã tiếp thu chỉnh sửa.</w:t>
            </w:r>
          </w:p>
        </w:tc>
      </w:tr>
      <w:tr w:rsidR="006421EA" w:rsidRPr="006421EA" w14:paraId="40DDE985" w14:textId="77777777" w:rsidTr="00056436">
        <w:tc>
          <w:tcPr>
            <w:tcW w:w="0" w:type="auto"/>
          </w:tcPr>
          <w:p w14:paraId="369874F9"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11CC3EF0"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639745CB" w14:textId="16428E02"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 xml:space="preserve">- Đề nghị bổ sung thêm phần giải thích lý do đối với các TTHC gộp lại </w:t>
            </w:r>
            <w:r w:rsidRPr="006421EA">
              <w:rPr>
                <w:rFonts w:asciiTheme="majorHAnsi" w:hAnsiTheme="majorHAnsi" w:cstheme="majorHAnsi"/>
                <w:i/>
                <w:sz w:val="24"/>
                <w:szCs w:val="24"/>
                <w:shd w:val="clear" w:color="auto" w:fill="FFFFFF"/>
                <w:lang w:val="vi-VN"/>
              </w:rPr>
              <w:t xml:space="preserve">(ví dụ: vì các TTHC này có cùng kết quả giải quyết; có trình tự thực hiện, hồ sơ giống nhau; cùng cơ quan giải quyết;…) </w:t>
            </w:r>
            <w:r w:rsidRPr="006421EA">
              <w:rPr>
                <w:rFonts w:asciiTheme="majorHAnsi" w:hAnsiTheme="majorHAnsi" w:cstheme="majorHAnsi"/>
                <w:iCs/>
                <w:sz w:val="24"/>
                <w:szCs w:val="24"/>
                <w:shd w:val="clear" w:color="auto" w:fill="FFFFFF"/>
                <w:lang w:val="vi-VN"/>
              </w:rPr>
              <w:t>để tạo tính thuyết phục hơn nữa.</w:t>
            </w:r>
          </w:p>
        </w:tc>
        <w:tc>
          <w:tcPr>
            <w:tcW w:w="3864" w:type="dxa"/>
          </w:tcPr>
          <w:p w14:paraId="3D5D56F6" w14:textId="03E896A8" w:rsidR="00F55491" w:rsidRPr="006421EA" w:rsidRDefault="002F0778" w:rsidP="006421EA">
            <w:pPr>
              <w:spacing w:before="120" w:after="120"/>
              <w:rPr>
                <w:rFonts w:asciiTheme="majorHAnsi" w:hAnsiTheme="majorHAnsi" w:cstheme="majorHAnsi"/>
                <w:sz w:val="24"/>
                <w:szCs w:val="24"/>
                <w:lang w:val="vi-VN"/>
              </w:rPr>
            </w:pPr>
            <w:r w:rsidRPr="006421EA">
              <w:rPr>
                <w:rFonts w:asciiTheme="majorHAnsi" w:hAnsiTheme="majorHAnsi" w:cstheme="majorHAnsi"/>
                <w:sz w:val="24"/>
                <w:szCs w:val="24"/>
                <w:lang w:val="vi-VN"/>
              </w:rPr>
              <w:t>Đã tiếp thu chỉnh sửa.</w:t>
            </w:r>
          </w:p>
        </w:tc>
      </w:tr>
      <w:tr w:rsidR="00F55491" w:rsidRPr="006421EA" w14:paraId="1C054BE6" w14:textId="77777777" w:rsidTr="00056436">
        <w:tc>
          <w:tcPr>
            <w:tcW w:w="0" w:type="auto"/>
          </w:tcPr>
          <w:p w14:paraId="4D48BDF6" w14:textId="77777777" w:rsidR="00F55491" w:rsidRPr="006421EA" w:rsidRDefault="00F55491" w:rsidP="006421EA">
            <w:pPr>
              <w:spacing w:before="120" w:after="120"/>
              <w:rPr>
                <w:rFonts w:asciiTheme="majorHAnsi" w:hAnsiTheme="majorHAnsi" w:cstheme="majorHAnsi"/>
                <w:sz w:val="24"/>
                <w:szCs w:val="24"/>
                <w:lang w:val="vi-VN"/>
              </w:rPr>
            </w:pPr>
          </w:p>
        </w:tc>
        <w:tc>
          <w:tcPr>
            <w:tcW w:w="0" w:type="auto"/>
          </w:tcPr>
          <w:p w14:paraId="7AAC5710" w14:textId="77777777" w:rsidR="00F55491" w:rsidRPr="006421EA" w:rsidRDefault="00F55491" w:rsidP="006421EA">
            <w:pPr>
              <w:spacing w:before="120" w:after="120"/>
              <w:rPr>
                <w:rFonts w:asciiTheme="majorHAnsi" w:hAnsiTheme="majorHAnsi" w:cstheme="majorHAnsi"/>
                <w:b/>
                <w:bCs/>
                <w:sz w:val="24"/>
                <w:szCs w:val="24"/>
                <w:lang w:val="vi-VN"/>
              </w:rPr>
            </w:pPr>
          </w:p>
        </w:tc>
        <w:tc>
          <w:tcPr>
            <w:tcW w:w="5037" w:type="dxa"/>
          </w:tcPr>
          <w:p w14:paraId="4094F2B4" w14:textId="123D89F4" w:rsidR="00F55491" w:rsidRPr="006421EA" w:rsidRDefault="00F55491" w:rsidP="006421EA">
            <w:pPr>
              <w:spacing w:before="120" w:after="120" w:line="312" w:lineRule="auto"/>
              <w:jc w:val="both"/>
              <w:rPr>
                <w:rFonts w:asciiTheme="majorHAnsi" w:hAnsiTheme="majorHAnsi" w:cstheme="majorHAnsi"/>
                <w:iCs/>
                <w:sz w:val="24"/>
                <w:szCs w:val="24"/>
                <w:shd w:val="clear" w:color="auto" w:fill="FFFFFF"/>
                <w:lang w:val="vi-VN"/>
              </w:rPr>
            </w:pPr>
            <w:r w:rsidRPr="006421EA">
              <w:rPr>
                <w:rFonts w:asciiTheme="majorHAnsi" w:hAnsiTheme="majorHAnsi" w:cstheme="majorHAnsi"/>
                <w:iCs/>
                <w:sz w:val="24"/>
                <w:szCs w:val="24"/>
                <w:shd w:val="clear" w:color="auto" w:fill="FFFFFF"/>
                <w:lang w:val="vi-VN"/>
              </w:rPr>
              <w:t xml:space="preserve">17. </w:t>
            </w:r>
            <w:r w:rsidRPr="006421EA">
              <w:rPr>
                <w:rFonts w:asciiTheme="majorHAnsi" w:hAnsiTheme="majorHAnsi" w:cstheme="majorHAnsi"/>
                <w:sz w:val="24"/>
                <w:szCs w:val="24"/>
                <w:shd w:val="clear" w:color="auto" w:fill="FFFFFF"/>
                <w:lang w:val="vi-VN"/>
              </w:rPr>
              <w:t xml:space="preserve">Đề nghị cơ quan soạn thảo rà soát lại các biểu mẫu đánh giá tác động TTHC và thực hiện đánh giá theo các biểu mẫu quy định tại Thông tư số 26/2025/TT-BTP </w:t>
            </w:r>
            <w:r w:rsidRPr="006421EA">
              <w:rPr>
                <w:rFonts w:asciiTheme="majorHAnsi" w:hAnsiTheme="majorHAnsi" w:cstheme="majorHAnsi"/>
                <w:sz w:val="24"/>
                <w:szCs w:val="24"/>
                <w:lang w:val="vi-VN"/>
              </w:rPr>
              <w:t>ngày 12/12/2025 của Bộ trưởng Bộ Tư pháp hướng dẫn xây dựng, ban hành văn bản QPPL.</w:t>
            </w:r>
          </w:p>
        </w:tc>
        <w:tc>
          <w:tcPr>
            <w:tcW w:w="3864" w:type="dxa"/>
          </w:tcPr>
          <w:p w14:paraId="2D2FC0D4" w14:textId="141D3D7C" w:rsidR="00F55491" w:rsidRPr="006421EA" w:rsidRDefault="00A048A0" w:rsidP="006421EA">
            <w:pPr>
              <w:spacing w:before="120" w:after="120"/>
              <w:jc w:val="both"/>
              <w:rPr>
                <w:rFonts w:asciiTheme="majorHAnsi" w:hAnsiTheme="majorHAnsi" w:cstheme="majorHAnsi"/>
                <w:sz w:val="24"/>
                <w:szCs w:val="24"/>
                <w:lang w:val="vi-VN"/>
              </w:rPr>
            </w:pPr>
            <w:r w:rsidRPr="006421EA">
              <w:rPr>
                <w:rFonts w:asciiTheme="majorHAnsi" w:hAnsiTheme="majorHAnsi" w:cstheme="majorHAnsi"/>
                <w:sz w:val="24"/>
                <w:szCs w:val="24"/>
                <w:lang w:val="vi-VN"/>
              </w:rPr>
              <w:t xml:space="preserve">Đã hoàn thành </w:t>
            </w:r>
            <w:r w:rsidRPr="006421EA">
              <w:rPr>
                <w:rFonts w:asciiTheme="majorHAnsi" w:hAnsiTheme="majorHAnsi" w:cstheme="majorHAnsi"/>
                <w:sz w:val="24"/>
                <w:szCs w:val="24"/>
                <w:shd w:val="clear" w:color="auto" w:fill="FFFFFF"/>
                <w:lang w:val="vi-VN"/>
              </w:rPr>
              <w:t xml:space="preserve">các biểu mẫu đánh giá tác động TTHC và thực hiện đánh giá theo các biểu mẫu quy định tại Thông tư số 26/2025/TT-BTP </w:t>
            </w:r>
            <w:r w:rsidRPr="006421EA">
              <w:rPr>
                <w:rFonts w:asciiTheme="majorHAnsi" w:hAnsiTheme="majorHAnsi" w:cstheme="majorHAnsi"/>
                <w:sz w:val="24"/>
                <w:szCs w:val="24"/>
                <w:lang w:val="vi-VN"/>
              </w:rPr>
              <w:t>ngày 12/12/2025 của Bộ trưởng Bộ Tư pháp hướng dẫn xây dựng, ban hành văn bản QPPL.</w:t>
            </w:r>
            <w:r w:rsidR="00D903EC" w:rsidRPr="006421EA">
              <w:rPr>
                <w:rFonts w:asciiTheme="majorHAnsi" w:hAnsiTheme="majorHAnsi" w:cstheme="majorHAnsi"/>
                <w:sz w:val="24"/>
                <w:szCs w:val="24"/>
                <w:lang w:val="vi-VN"/>
              </w:rPr>
              <w:t>.</w:t>
            </w:r>
          </w:p>
        </w:tc>
      </w:tr>
    </w:tbl>
    <w:p w14:paraId="24A4C56D" w14:textId="77777777" w:rsidR="00862069" w:rsidRPr="006421EA" w:rsidRDefault="00862069" w:rsidP="006421EA">
      <w:pPr>
        <w:rPr>
          <w:b/>
          <w:bCs/>
          <w:sz w:val="26"/>
          <w:szCs w:val="26"/>
          <w:lang w:val="vi-VN"/>
        </w:rPr>
      </w:pPr>
    </w:p>
    <w:sectPr w:rsidR="00862069" w:rsidRPr="006421EA" w:rsidSect="00E23AF2">
      <w:headerReference w:type="default" r:id="rId8"/>
      <w:footerReference w:type="default" r:id="rId9"/>
      <w:pgSz w:w="16838" w:h="11906" w:orient="landscape" w:code="9"/>
      <w:pgMar w:top="1134" w:right="1134" w:bottom="102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2B8AF" w14:textId="77777777" w:rsidR="000D7874" w:rsidRDefault="000D7874" w:rsidP="006E587B">
      <w:r>
        <w:separator/>
      </w:r>
    </w:p>
  </w:endnote>
  <w:endnote w:type="continuationSeparator" w:id="0">
    <w:p w14:paraId="1DE0B9DE" w14:textId="77777777" w:rsidR="000D7874" w:rsidRDefault="000D7874" w:rsidP="006E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roman"/>
    <w:pitch w:val="default"/>
  </w:font>
  <w:font w:name="CIDFont+F2">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2888C" w14:textId="1CE1939C" w:rsidR="007E72D4" w:rsidRDefault="007E72D4">
    <w:pPr>
      <w:pStyle w:val="Footer"/>
      <w:jc w:val="center"/>
      <w:rPr>
        <w:caps/>
        <w:noProof/>
        <w:color w:val="156082" w:themeColor="accent1"/>
      </w:rPr>
    </w:pPr>
  </w:p>
  <w:p w14:paraId="47FCAE0B" w14:textId="4BA406B7" w:rsidR="007E72D4" w:rsidRDefault="007E72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A9329" w14:textId="77777777" w:rsidR="000D7874" w:rsidRDefault="000D7874" w:rsidP="006E587B">
      <w:r>
        <w:separator/>
      </w:r>
    </w:p>
  </w:footnote>
  <w:footnote w:type="continuationSeparator" w:id="0">
    <w:p w14:paraId="526D6EB6" w14:textId="77777777" w:rsidR="000D7874" w:rsidRDefault="000D7874" w:rsidP="006E58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112275"/>
      <w:docPartObj>
        <w:docPartGallery w:val="Page Numbers (Top of Page)"/>
        <w:docPartUnique/>
      </w:docPartObj>
    </w:sdtPr>
    <w:sdtEndPr>
      <w:rPr>
        <w:noProof/>
      </w:rPr>
    </w:sdtEndPr>
    <w:sdtContent>
      <w:p w14:paraId="05BFFCCD" w14:textId="3B55D261" w:rsidR="007E72D4" w:rsidRDefault="007E72D4">
        <w:pPr>
          <w:pStyle w:val="Header"/>
          <w:jc w:val="center"/>
        </w:pPr>
        <w:r>
          <w:fldChar w:fldCharType="begin"/>
        </w:r>
        <w:r>
          <w:instrText xml:space="preserve"> PAGE   \* MERGEFORMAT </w:instrText>
        </w:r>
        <w:r>
          <w:fldChar w:fldCharType="separate"/>
        </w:r>
        <w:r w:rsidR="0099124A">
          <w:rPr>
            <w:noProof/>
          </w:rPr>
          <w:t>2</w:t>
        </w:r>
        <w:r>
          <w:rPr>
            <w:noProof/>
          </w:rPr>
          <w:fldChar w:fldCharType="end"/>
        </w:r>
      </w:p>
    </w:sdtContent>
  </w:sdt>
  <w:p w14:paraId="3897C9AD" w14:textId="77777777" w:rsidR="007E72D4" w:rsidRDefault="007E72D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0E036F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9B5782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145B6A"/>
    <w:multiLevelType w:val="hybridMultilevel"/>
    <w:tmpl w:val="2B6C384E"/>
    <w:lvl w:ilvl="0" w:tplc="08BA4A12">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6621BE8"/>
    <w:multiLevelType w:val="hybridMultilevel"/>
    <w:tmpl w:val="3F06245C"/>
    <w:lvl w:ilvl="0" w:tplc="EAA690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D5F54"/>
    <w:multiLevelType w:val="multilevel"/>
    <w:tmpl w:val="E3D269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490212"/>
    <w:multiLevelType w:val="hybridMultilevel"/>
    <w:tmpl w:val="593E21DC"/>
    <w:lvl w:ilvl="0" w:tplc="FFFFFFFF">
      <w:start w:val="1"/>
      <w:numFmt w:val="decimal"/>
      <w:suff w:val="space"/>
      <w:lvlText w:val="%1."/>
      <w:lvlJc w:val="left"/>
      <w:pPr>
        <w:ind w:left="0" w:firstLine="72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0FA55B85"/>
    <w:multiLevelType w:val="multilevel"/>
    <w:tmpl w:val="BE72CDA2"/>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2172E96"/>
    <w:multiLevelType w:val="hybridMultilevel"/>
    <w:tmpl w:val="746CC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C3BFD"/>
    <w:multiLevelType w:val="hybridMultilevel"/>
    <w:tmpl w:val="096E0E72"/>
    <w:lvl w:ilvl="0" w:tplc="4F967B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45025"/>
    <w:multiLevelType w:val="multilevel"/>
    <w:tmpl w:val="86307F10"/>
    <w:lvl w:ilvl="0">
      <w:start w:val="1"/>
      <w:numFmt w:val="decimal"/>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1ECE014B"/>
    <w:multiLevelType w:val="hybridMultilevel"/>
    <w:tmpl w:val="593E21DC"/>
    <w:lvl w:ilvl="0" w:tplc="4C82AB16">
      <w:start w:val="1"/>
      <w:numFmt w:val="decimal"/>
      <w:suff w:val="space"/>
      <w:lvlText w:val="%1."/>
      <w:lvlJc w:val="left"/>
      <w:pPr>
        <w:ind w:left="0" w:firstLine="72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237F680C"/>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B96A09"/>
    <w:multiLevelType w:val="multilevel"/>
    <w:tmpl w:val="3B4AE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C1661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7116907"/>
    <w:multiLevelType w:val="multilevel"/>
    <w:tmpl w:val="DE621A4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29AE2D51"/>
    <w:multiLevelType w:val="multilevel"/>
    <w:tmpl w:val="540E04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022A33"/>
    <w:multiLevelType w:val="hybridMultilevel"/>
    <w:tmpl w:val="2BBE6AC8"/>
    <w:lvl w:ilvl="0" w:tplc="61883A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D28B4"/>
    <w:multiLevelType w:val="hybridMultilevel"/>
    <w:tmpl w:val="25B28AD4"/>
    <w:lvl w:ilvl="0" w:tplc="786C4D62">
      <w:start w:val="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8C7AFB"/>
    <w:multiLevelType w:val="hybridMultilevel"/>
    <w:tmpl w:val="68A61712"/>
    <w:lvl w:ilvl="0" w:tplc="C3FE5A0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27AE4"/>
    <w:multiLevelType w:val="hybridMultilevel"/>
    <w:tmpl w:val="AF2A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A76054"/>
    <w:multiLevelType w:val="hybridMultilevel"/>
    <w:tmpl w:val="146E144E"/>
    <w:lvl w:ilvl="0" w:tplc="BA1415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8782F"/>
    <w:multiLevelType w:val="multilevel"/>
    <w:tmpl w:val="6E38CAE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355A6CA4"/>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3A005C"/>
    <w:multiLevelType w:val="hybridMultilevel"/>
    <w:tmpl w:val="F9C6D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8D75B1"/>
    <w:multiLevelType w:val="hybridMultilevel"/>
    <w:tmpl w:val="C3F07E32"/>
    <w:lvl w:ilvl="0" w:tplc="CFAED36A">
      <w:start w:val="1"/>
      <w:numFmt w:val="decimal"/>
      <w:suff w:val="space"/>
      <w:lvlText w:val="%1."/>
      <w:lvlJc w:val="left"/>
      <w:pPr>
        <w:ind w:left="2345" w:hanging="360"/>
      </w:pPr>
      <w:rPr>
        <w:rFonts w:ascii="Times New Roman" w:hAnsi="Times New Roman" w:cs="Times New Roman" w:hint="default"/>
        <w:b w:val="0"/>
        <w:color w:val="00000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EA4955"/>
    <w:multiLevelType w:val="multilevel"/>
    <w:tmpl w:val="9B38277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3CD91E07"/>
    <w:multiLevelType w:val="multilevel"/>
    <w:tmpl w:val="0E0A0CD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8858E9"/>
    <w:multiLevelType w:val="hybridMultilevel"/>
    <w:tmpl w:val="89C4B9D0"/>
    <w:lvl w:ilvl="0" w:tplc="3D068C82">
      <w:start w:val="1"/>
      <w:numFmt w:val="upperRoman"/>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41AB7D0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4DB74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C063EC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2A01A9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6E72596"/>
    <w:multiLevelType w:val="multilevel"/>
    <w:tmpl w:val="4E6E5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053E93"/>
    <w:multiLevelType w:val="multilevel"/>
    <w:tmpl w:val="F5D0C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FAD3488"/>
    <w:multiLevelType w:val="multilevel"/>
    <w:tmpl w:val="E7D0C1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EE2850"/>
    <w:multiLevelType w:val="multilevel"/>
    <w:tmpl w:val="7B32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1F60F8"/>
    <w:multiLevelType w:val="multilevel"/>
    <w:tmpl w:val="2A02EAE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7" w15:restartNumberingAfterBreak="0">
    <w:nsid w:val="69EB30F4"/>
    <w:multiLevelType w:val="hybridMultilevel"/>
    <w:tmpl w:val="C2248258"/>
    <w:lvl w:ilvl="0" w:tplc="DB98F14A">
      <w:start w:val="1"/>
      <w:numFmt w:val="decimal"/>
      <w:suff w:val="space"/>
      <w:lvlText w:val="%1."/>
      <w:lvlJc w:val="left"/>
      <w:pPr>
        <w:ind w:left="0" w:firstLine="72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 w15:restartNumberingAfterBreak="0">
    <w:nsid w:val="6B5C7712"/>
    <w:multiLevelType w:val="multilevel"/>
    <w:tmpl w:val="6048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B26CD0"/>
    <w:multiLevelType w:val="multilevel"/>
    <w:tmpl w:val="4DF2B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844937"/>
    <w:multiLevelType w:val="hybridMultilevel"/>
    <w:tmpl w:val="E480C744"/>
    <w:lvl w:ilvl="0" w:tplc="44B8CA7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6F0FB2"/>
    <w:multiLevelType w:val="multilevel"/>
    <w:tmpl w:val="29C8547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73CB07A4"/>
    <w:multiLevelType w:val="hybridMultilevel"/>
    <w:tmpl w:val="3EAA7190"/>
    <w:lvl w:ilvl="0" w:tplc="8CAE56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60661A"/>
    <w:multiLevelType w:val="multilevel"/>
    <w:tmpl w:val="B79C7F6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78F34F13"/>
    <w:multiLevelType w:val="multilevel"/>
    <w:tmpl w:val="BFFCB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BA41606"/>
    <w:multiLevelType w:val="multilevel"/>
    <w:tmpl w:val="C050363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7E5A245D"/>
    <w:multiLevelType w:val="hybridMultilevel"/>
    <w:tmpl w:val="F60CB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903C19"/>
    <w:multiLevelType w:val="multilevel"/>
    <w:tmpl w:val="E1680DA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2"/>
  </w:num>
  <w:num w:numId="2">
    <w:abstractNumId w:val="44"/>
  </w:num>
  <w:num w:numId="3">
    <w:abstractNumId w:val="4"/>
  </w:num>
  <w:num w:numId="4">
    <w:abstractNumId w:val="38"/>
  </w:num>
  <w:num w:numId="5">
    <w:abstractNumId w:val="23"/>
  </w:num>
  <w:num w:numId="6">
    <w:abstractNumId w:val="15"/>
  </w:num>
  <w:num w:numId="7">
    <w:abstractNumId w:val="27"/>
  </w:num>
  <w:num w:numId="8">
    <w:abstractNumId w:val="10"/>
  </w:num>
  <w:num w:numId="9">
    <w:abstractNumId w:val="5"/>
  </w:num>
  <w:num w:numId="10">
    <w:abstractNumId w:val="37"/>
  </w:num>
  <w:num w:numId="11">
    <w:abstractNumId w:val="34"/>
  </w:num>
  <w:num w:numId="12">
    <w:abstractNumId w:val="17"/>
  </w:num>
  <w:num w:numId="13">
    <w:abstractNumId w:val="8"/>
  </w:num>
  <w:num w:numId="14">
    <w:abstractNumId w:val="46"/>
  </w:num>
  <w:num w:numId="15">
    <w:abstractNumId w:val="3"/>
  </w:num>
  <w:num w:numId="16">
    <w:abstractNumId w:val="42"/>
  </w:num>
  <w:num w:numId="17">
    <w:abstractNumId w:val="20"/>
  </w:num>
  <w:num w:numId="18">
    <w:abstractNumId w:val="40"/>
  </w:num>
  <w:num w:numId="19">
    <w:abstractNumId w:val="16"/>
  </w:num>
  <w:num w:numId="20">
    <w:abstractNumId w:val="18"/>
  </w:num>
  <w:num w:numId="21">
    <w:abstractNumId w:val="26"/>
  </w:num>
  <w:num w:numId="22">
    <w:abstractNumId w:val="11"/>
  </w:num>
  <w:num w:numId="23">
    <w:abstractNumId w:val="22"/>
  </w:num>
  <w:num w:numId="24">
    <w:abstractNumId w:val="33"/>
  </w:num>
  <w:num w:numId="25">
    <w:abstractNumId w:val="47"/>
  </w:num>
  <w:num w:numId="26">
    <w:abstractNumId w:val="24"/>
  </w:num>
  <w:num w:numId="27">
    <w:abstractNumId w:val="45"/>
  </w:num>
  <w:num w:numId="28">
    <w:abstractNumId w:val="25"/>
  </w:num>
  <w:num w:numId="29">
    <w:abstractNumId w:val="41"/>
  </w:num>
  <w:num w:numId="30">
    <w:abstractNumId w:val="6"/>
  </w:num>
  <w:num w:numId="31">
    <w:abstractNumId w:val="43"/>
  </w:num>
  <w:num w:numId="32">
    <w:abstractNumId w:val="0"/>
  </w:num>
  <w:num w:numId="33">
    <w:abstractNumId w:val="31"/>
  </w:num>
  <w:num w:numId="34">
    <w:abstractNumId w:val="30"/>
  </w:num>
  <w:num w:numId="35">
    <w:abstractNumId w:val="28"/>
  </w:num>
  <w:num w:numId="36">
    <w:abstractNumId w:val="13"/>
  </w:num>
  <w:num w:numId="37">
    <w:abstractNumId w:val="14"/>
  </w:num>
  <w:num w:numId="38">
    <w:abstractNumId w:val="21"/>
  </w:num>
  <w:num w:numId="39">
    <w:abstractNumId w:val="9"/>
  </w:num>
  <w:num w:numId="40">
    <w:abstractNumId w:val="36"/>
  </w:num>
  <w:num w:numId="41">
    <w:abstractNumId w:val="12"/>
  </w:num>
  <w:num w:numId="42">
    <w:abstractNumId w:val="29"/>
  </w:num>
  <w:num w:numId="43">
    <w:abstractNumId w:val="1"/>
  </w:num>
  <w:num w:numId="44">
    <w:abstractNumId w:val="32"/>
  </w:num>
  <w:num w:numId="45">
    <w:abstractNumId w:val="35"/>
  </w:num>
  <w:num w:numId="46">
    <w:abstractNumId w:val="7"/>
  </w:num>
  <w:num w:numId="47">
    <w:abstractNumId w:val="19"/>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BF8"/>
    <w:rsid w:val="000044CE"/>
    <w:rsid w:val="00004D74"/>
    <w:rsid w:val="000074B5"/>
    <w:rsid w:val="00007B57"/>
    <w:rsid w:val="00011F8B"/>
    <w:rsid w:val="00012B0E"/>
    <w:rsid w:val="00016E76"/>
    <w:rsid w:val="00023CAB"/>
    <w:rsid w:val="00023D0D"/>
    <w:rsid w:val="00023D7A"/>
    <w:rsid w:val="000259FF"/>
    <w:rsid w:val="00025D08"/>
    <w:rsid w:val="000322C1"/>
    <w:rsid w:val="00032C04"/>
    <w:rsid w:val="000347F2"/>
    <w:rsid w:val="0003726D"/>
    <w:rsid w:val="0003728D"/>
    <w:rsid w:val="0004018E"/>
    <w:rsid w:val="000404BA"/>
    <w:rsid w:val="00040CEB"/>
    <w:rsid w:val="00041DC1"/>
    <w:rsid w:val="000426CA"/>
    <w:rsid w:val="00042A44"/>
    <w:rsid w:val="00042BAC"/>
    <w:rsid w:val="00044C20"/>
    <w:rsid w:val="000458DA"/>
    <w:rsid w:val="00046845"/>
    <w:rsid w:val="00047D52"/>
    <w:rsid w:val="00051EB5"/>
    <w:rsid w:val="00053627"/>
    <w:rsid w:val="000539F2"/>
    <w:rsid w:val="00054F33"/>
    <w:rsid w:val="00056436"/>
    <w:rsid w:val="0005684B"/>
    <w:rsid w:val="00064481"/>
    <w:rsid w:val="000677D6"/>
    <w:rsid w:val="00067FAC"/>
    <w:rsid w:val="0007183E"/>
    <w:rsid w:val="00071D9B"/>
    <w:rsid w:val="000721A5"/>
    <w:rsid w:val="00072BE1"/>
    <w:rsid w:val="00074FD6"/>
    <w:rsid w:val="000761D0"/>
    <w:rsid w:val="00082FC1"/>
    <w:rsid w:val="00084997"/>
    <w:rsid w:val="00084E3B"/>
    <w:rsid w:val="000861ED"/>
    <w:rsid w:val="00086837"/>
    <w:rsid w:val="00092159"/>
    <w:rsid w:val="00094892"/>
    <w:rsid w:val="00095B8E"/>
    <w:rsid w:val="00096A46"/>
    <w:rsid w:val="00097063"/>
    <w:rsid w:val="0009750D"/>
    <w:rsid w:val="000A009B"/>
    <w:rsid w:val="000A0110"/>
    <w:rsid w:val="000A21CB"/>
    <w:rsid w:val="000A2268"/>
    <w:rsid w:val="000A2DD2"/>
    <w:rsid w:val="000A393B"/>
    <w:rsid w:val="000A41D9"/>
    <w:rsid w:val="000A51D8"/>
    <w:rsid w:val="000A63F6"/>
    <w:rsid w:val="000A6587"/>
    <w:rsid w:val="000A6D3B"/>
    <w:rsid w:val="000B00B2"/>
    <w:rsid w:val="000B0C21"/>
    <w:rsid w:val="000B490C"/>
    <w:rsid w:val="000B4A59"/>
    <w:rsid w:val="000B5672"/>
    <w:rsid w:val="000B7A4A"/>
    <w:rsid w:val="000C47C6"/>
    <w:rsid w:val="000C48FA"/>
    <w:rsid w:val="000D1011"/>
    <w:rsid w:val="000D1017"/>
    <w:rsid w:val="000D28E0"/>
    <w:rsid w:val="000D36AD"/>
    <w:rsid w:val="000D4A69"/>
    <w:rsid w:val="000D5E97"/>
    <w:rsid w:val="000D644A"/>
    <w:rsid w:val="000D6870"/>
    <w:rsid w:val="000D7215"/>
    <w:rsid w:val="000D7561"/>
    <w:rsid w:val="000D7874"/>
    <w:rsid w:val="000E07E7"/>
    <w:rsid w:val="000E0F56"/>
    <w:rsid w:val="000E1F2E"/>
    <w:rsid w:val="000E293A"/>
    <w:rsid w:val="000E3216"/>
    <w:rsid w:val="000E52DB"/>
    <w:rsid w:val="000E65D6"/>
    <w:rsid w:val="000F15DA"/>
    <w:rsid w:val="000F166C"/>
    <w:rsid w:val="000F3089"/>
    <w:rsid w:val="000F4333"/>
    <w:rsid w:val="000F4AE5"/>
    <w:rsid w:val="000F65DA"/>
    <w:rsid w:val="000F678D"/>
    <w:rsid w:val="000F6CD4"/>
    <w:rsid w:val="000F7768"/>
    <w:rsid w:val="000F7B8D"/>
    <w:rsid w:val="00100178"/>
    <w:rsid w:val="001013CA"/>
    <w:rsid w:val="00101962"/>
    <w:rsid w:val="00101A52"/>
    <w:rsid w:val="00103738"/>
    <w:rsid w:val="00104745"/>
    <w:rsid w:val="001048E5"/>
    <w:rsid w:val="00104F53"/>
    <w:rsid w:val="00110EDD"/>
    <w:rsid w:val="00111DFD"/>
    <w:rsid w:val="0011252B"/>
    <w:rsid w:val="0011380B"/>
    <w:rsid w:val="001149E5"/>
    <w:rsid w:val="00114A94"/>
    <w:rsid w:val="00115175"/>
    <w:rsid w:val="00115C37"/>
    <w:rsid w:val="001163DA"/>
    <w:rsid w:val="00116572"/>
    <w:rsid w:val="001170C5"/>
    <w:rsid w:val="00121D9F"/>
    <w:rsid w:val="001238A4"/>
    <w:rsid w:val="00123AE0"/>
    <w:rsid w:val="001244B8"/>
    <w:rsid w:val="00126455"/>
    <w:rsid w:val="001267D5"/>
    <w:rsid w:val="00126A80"/>
    <w:rsid w:val="00130642"/>
    <w:rsid w:val="001366DD"/>
    <w:rsid w:val="00136C32"/>
    <w:rsid w:val="00136C3A"/>
    <w:rsid w:val="00140B7E"/>
    <w:rsid w:val="001418F8"/>
    <w:rsid w:val="00141DA1"/>
    <w:rsid w:val="0014534D"/>
    <w:rsid w:val="001454A4"/>
    <w:rsid w:val="00146B19"/>
    <w:rsid w:val="00150867"/>
    <w:rsid w:val="001521F9"/>
    <w:rsid w:val="00153238"/>
    <w:rsid w:val="00153B02"/>
    <w:rsid w:val="00157DBE"/>
    <w:rsid w:val="00160A56"/>
    <w:rsid w:val="00160A99"/>
    <w:rsid w:val="001664F9"/>
    <w:rsid w:val="00167184"/>
    <w:rsid w:val="00167492"/>
    <w:rsid w:val="00170263"/>
    <w:rsid w:val="0017203E"/>
    <w:rsid w:val="001737CB"/>
    <w:rsid w:val="00176FA7"/>
    <w:rsid w:val="00182183"/>
    <w:rsid w:val="00187550"/>
    <w:rsid w:val="00191168"/>
    <w:rsid w:val="00191310"/>
    <w:rsid w:val="001928AD"/>
    <w:rsid w:val="001945F4"/>
    <w:rsid w:val="00194D91"/>
    <w:rsid w:val="00196EB6"/>
    <w:rsid w:val="001A2EC0"/>
    <w:rsid w:val="001A7413"/>
    <w:rsid w:val="001A7DD9"/>
    <w:rsid w:val="001B0B9C"/>
    <w:rsid w:val="001B1F76"/>
    <w:rsid w:val="001B4F4A"/>
    <w:rsid w:val="001B5378"/>
    <w:rsid w:val="001B77CB"/>
    <w:rsid w:val="001B7BF5"/>
    <w:rsid w:val="001C0321"/>
    <w:rsid w:val="001C06E6"/>
    <w:rsid w:val="001C18E9"/>
    <w:rsid w:val="001C2CD2"/>
    <w:rsid w:val="001C2DCA"/>
    <w:rsid w:val="001C2F29"/>
    <w:rsid w:val="001C333E"/>
    <w:rsid w:val="001C42EA"/>
    <w:rsid w:val="001C47FB"/>
    <w:rsid w:val="001C5469"/>
    <w:rsid w:val="001C56F2"/>
    <w:rsid w:val="001C6EDD"/>
    <w:rsid w:val="001C710B"/>
    <w:rsid w:val="001D3A83"/>
    <w:rsid w:val="001D4D4D"/>
    <w:rsid w:val="001D566B"/>
    <w:rsid w:val="001D67D9"/>
    <w:rsid w:val="001D7A86"/>
    <w:rsid w:val="001D7AFF"/>
    <w:rsid w:val="001D7BE4"/>
    <w:rsid w:val="001E1DC5"/>
    <w:rsid w:val="001E3794"/>
    <w:rsid w:val="001E5123"/>
    <w:rsid w:val="001F1632"/>
    <w:rsid w:val="001F1C7A"/>
    <w:rsid w:val="001F3436"/>
    <w:rsid w:val="001F3CF2"/>
    <w:rsid w:val="001F3EA6"/>
    <w:rsid w:val="001F5E31"/>
    <w:rsid w:val="001F6BA5"/>
    <w:rsid w:val="001F711E"/>
    <w:rsid w:val="001F75E4"/>
    <w:rsid w:val="0020156F"/>
    <w:rsid w:val="002036D9"/>
    <w:rsid w:val="002063C6"/>
    <w:rsid w:val="00207142"/>
    <w:rsid w:val="0020746C"/>
    <w:rsid w:val="00211075"/>
    <w:rsid w:val="00211745"/>
    <w:rsid w:val="00213777"/>
    <w:rsid w:val="002149F0"/>
    <w:rsid w:val="002167E7"/>
    <w:rsid w:val="00217A42"/>
    <w:rsid w:val="00217ED4"/>
    <w:rsid w:val="00220199"/>
    <w:rsid w:val="002205C0"/>
    <w:rsid w:val="0022098F"/>
    <w:rsid w:val="00221547"/>
    <w:rsid w:val="002248FB"/>
    <w:rsid w:val="00225A62"/>
    <w:rsid w:val="002262AF"/>
    <w:rsid w:val="002272C1"/>
    <w:rsid w:val="00231103"/>
    <w:rsid w:val="00231719"/>
    <w:rsid w:val="00232FEA"/>
    <w:rsid w:val="002333E6"/>
    <w:rsid w:val="002344D7"/>
    <w:rsid w:val="002350E2"/>
    <w:rsid w:val="00235DEF"/>
    <w:rsid w:val="00237D18"/>
    <w:rsid w:val="00240296"/>
    <w:rsid w:val="002403D8"/>
    <w:rsid w:val="00240707"/>
    <w:rsid w:val="00241E76"/>
    <w:rsid w:val="00242893"/>
    <w:rsid w:val="00244589"/>
    <w:rsid w:val="00246E01"/>
    <w:rsid w:val="002514EB"/>
    <w:rsid w:val="002518C2"/>
    <w:rsid w:val="0025278A"/>
    <w:rsid w:val="00254895"/>
    <w:rsid w:val="00256352"/>
    <w:rsid w:val="00256627"/>
    <w:rsid w:val="00256892"/>
    <w:rsid w:val="002635E9"/>
    <w:rsid w:val="00265CBC"/>
    <w:rsid w:val="00270A82"/>
    <w:rsid w:val="00271B4D"/>
    <w:rsid w:val="00271FFE"/>
    <w:rsid w:val="00272634"/>
    <w:rsid w:val="00272EA3"/>
    <w:rsid w:val="00275F7E"/>
    <w:rsid w:val="0028162B"/>
    <w:rsid w:val="00284536"/>
    <w:rsid w:val="00284954"/>
    <w:rsid w:val="00287D68"/>
    <w:rsid w:val="00290B70"/>
    <w:rsid w:val="002918EB"/>
    <w:rsid w:val="00291BAC"/>
    <w:rsid w:val="00292AEF"/>
    <w:rsid w:val="0029434E"/>
    <w:rsid w:val="00294592"/>
    <w:rsid w:val="002973A1"/>
    <w:rsid w:val="002979FA"/>
    <w:rsid w:val="002A0B46"/>
    <w:rsid w:val="002A2C43"/>
    <w:rsid w:val="002A2EED"/>
    <w:rsid w:val="002A2F33"/>
    <w:rsid w:val="002A455E"/>
    <w:rsid w:val="002B0A16"/>
    <w:rsid w:val="002B0E70"/>
    <w:rsid w:val="002B1654"/>
    <w:rsid w:val="002B2AC7"/>
    <w:rsid w:val="002B429E"/>
    <w:rsid w:val="002B4F89"/>
    <w:rsid w:val="002B5487"/>
    <w:rsid w:val="002B563A"/>
    <w:rsid w:val="002B75C7"/>
    <w:rsid w:val="002C1999"/>
    <w:rsid w:val="002C1F27"/>
    <w:rsid w:val="002C4F98"/>
    <w:rsid w:val="002C57E9"/>
    <w:rsid w:val="002C5963"/>
    <w:rsid w:val="002C5EF9"/>
    <w:rsid w:val="002C6422"/>
    <w:rsid w:val="002C6EAC"/>
    <w:rsid w:val="002D06A6"/>
    <w:rsid w:val="002D1EAE"/>
    <w:rsid w:val="002D26A6"/>
    <w:rsid w:val="002D319C"/>
    <w:rsid w:val="002D48A3"/>
    <w:rsid w:val="002E1D19"/>
    <w:rsid w:val="002E2003"/>
    <w:rsid w:val="002E3F75"/>
    <w:rsid w:val="002E449B"/>
    <w:rsid w:val="002E5C7C"/>
    <w:rsid w:val="002F0778"/>
    <w:rsid w:val="002F40D1"/>
    <w:rsid w:val="002F4CBE"/>
    <w:rsid w:val="002F645B"/>
    <w:rsid w:val="002F6E64"/>
    <w:rsid w:val="00303ABF"/>
    <w:rsid w:val="0030521B"/>
    <w:rsid w:val="0030591E"/>
    <w:rsid w:val="003109B3"/>
    <w:rsid w:val="00310A5E"/>
    <w:rsid w:val="00312E28"/>
    <w:rsid w:val="00314150"/>
    <w:rsid w:val="00316BA9"/>
    <w:rsid w:val="00316F49"/>
    <w:rsid w:val="003216A5"/>
    <w:rsid w:val="0032296C"/>
    <w:rsid w:val="00322C20"/>
    <w:rsid w:val="00330A71"/>
    <w:rsid w:val="00331385"/>
    <w:rsid w:val="00333BE6"/>
    <w:rsid w:val="003354A3"/>
    <w:rsid w:val="00335B83"/>
    <w:rsid w:val="00337029"/>
    <w:rsid w:val="00342A0D"/>
    <w:rsid w:val="003431A1"/>
    <w:rsid w:val="003434C0"/>
    <w:rsid w:val="003446B5"/>
    <w:rsid w:val="00345C9D"/>
    <w:rsid w:val="0034606A"/>
    <w:rsid w:val="00346290"/>
    <w:rsid w:val="00346554"/>
    <w:rsid w:val="00346E6C"/>
    <w:rsid w:val="00350AE1"/>
    <w:rsid w:val="00351379"/>
    <w:rsid w:val="003526CA"/>
    <w:rsid w:val="00352974"/>
    <w:rsid w:val="00353676"/>
    <w:rsid w:val="003537AB"/>
    <w:rsid w:val="00355EBE"/>
    <w:rsid w:val="003564DA"/>
    <w:rsid w:val="003572F5"/>
    <w:rsid w:val="003574EC"/>
    <w:rsid w:val="00357EBF"/>
    <w:rsid w:val="00360ABA"/>
    <w:rsid w:val="00360CDD"/>
    <w:rsid w:val="00363E50"/>
    <w:rsid w:val="0036593A"/>
    <w:rsid w:val="00365F51"/>
    <w:rsid w:val="00366405"/>
    <w:rsid w:val="0037116F"/>
    <w:rsid w:val="00371235"/>
    <w:rsid w:val="00371909"/>
    <w:rsid w:val="00371BA3"/>
    <w:rsid w:val="00375D04"/>
    <w:rsid w:val="00375FE7"/>
    <w:rsid w:val="00376FBF"/>
    <w:rsid w:val="0038136D"/>
    <w:rsid w:val="003814E0"/>
    <w:rsid w:val="00383FD4"/>
    <w:rsid w:val="003865C6"/>
    <w:rsid w:val="0038717D"/>
    <w:rsid w:val="00391128"/>
    <w:rsid w:val="003946E2"/>
    <w:rsid w:val="003A019C"/>
    <w:rsid w:val="003A02BC"/>
    <w:rsid w:val="003A2043"/>
    <w:rsid w:val="003A31C5"/>
    <w:rsid w:val="003A6ECE"/>
    <w:rsid w:val="003A72F5"/>
    <w:rsid w:val="003B1BA4"/>
    <w:rsid w:val="003B1E27"/>
    <w:rsid w:val="003B20D9"/>
    <w:rsid w:val="003B2E8F"/>
    <w:rsid w:val="003B3576"/>
    <w:rsid w:val="003B640D"/>
    <w:rsid w:val="003B66B1"/>
    <w:rsid w:val="003B6F99"/>
    <w:rsid w:val="003C0124"/>
    <w:rsid w:val="003C1200"/>
    <w:rsid w:val="003C2F94"/>
    <w:rsid w:val="003C326C"/>
    <w:rsid w:val="003C52BA"/>
    <w:rsid w:val="003D01F5"/>
    <w:rsid w:val="003D1E38"/>
    <w:rsid w:val="003D1F1E"/>
    <w:rsid w:val="003D503F"/>
    <w:rsid w:val="003D56AB"/>
    <w:rsid w:val="003D6214"/>
    <w:rsid w:val="003D626E"/>
    <w:rsid w:val="003E16E9"/>
    <w:rsid w:val="003E2997"/>
    <w:rsid w:val="003E3FB0"/>
    <w:rsid w:val="003E78F5"/>
    <w:rsid w:val="003F03F9"/>
    <w:rsid w:val="003F0E9D"/>
    <w:rsid w:val="003F108A"/>
    <w:rsid w:val="003F1B09"/>
    <w:rsid w:val="003F4662"/>
    <w:rsid w:val="004012B0"/>
    <w:rsid w:val="004014CB"/>
    <w:rsid w:val="00401BB3"/>
    <w:rsid w:val="00405123"/>
    <w:rsid w:val="00406D2B"/>
    <w:rsid w:val="00406E37"/>
    <w:rsid w:val="00407BC5"/>
    <w:rsid w:val="004102CE"/>
    <w:rsid w:val="004103A3"/>
    <w:rsid w:val="004114AD"/>
    <w:rsid w:val="00412BE2"/>
    <w:rsid w:val="00414C1F"/>
    <w:rsid w:val="00415D68"/>
    <w:rsid w:val="004174D0"/>
    <w:rsid w:val="00417CB0"/>
    <w:rsid w:val="004208F0"/>
    <w:rsid w:val="00420F29"/>
    <w:rsid w:val="00421A73"/>
    <w:rsid w:val="00421D02"/>
    <w:rsid w:val="00422A52"/>
    <w:rsid w:val="004231EE"/>
    <w:rsid w:val="004232F1"/>
    <w:rsid w:val="004248C7"/>
    <w:rsid w:val="00425F43"/>
    <w:rsid w:val="004263BD"/>
    <w:rsid w:val="004270BF"/>
    <w:rsid w:val="0042795E"/>
    <w:rsid w:val="004315C5"/>
    <w:rsid w:val="00436157"/>
    <w:rsid w:val="00440F07"/>
    <w:rsid w:val="00443003"/>
    <w:rsid w:val="00444BB1"/>
    <w:rsid w:val="00446B5D"/>
    <w:rsid w:val="00450378"/>
    <w:rsid w:val="00452BD5"/>
    <w:rsid w:val="00456CB2"/>
    <w:rsid w:val="00457222"/>
    <w:rsid w:val="00457648"/>
    <w:rsid w:val="0046037B"/>
    <w:rsid w:val="00460F9B"/>
    <w:rsid w:val="00463206"/>
    <w:rsid w:val="00463AB3"/>
    <w:rsid w:val="00464029"/>
    <w:rsid w:val="004664BB"/>
    <w:rsid w:val="00466B9C"/>
    <w:rsid w:val="0047638B"/>
    <w:rsid w:val="0048073B"/>
    <w:rsid w:val="00480F73"/>
    <w:rsid w:val="00481BF9"/>
    <w:rsid w:val="00483052"/>
    <w:rsid w:val="004854B5"/>
    <w:rsid w:val="00486281"/>
    <w:rsid w:val="00486C87"/>
    <w:rsid w:val="00487EDE"/>
    <w:rsid w:val="004A0713"/>
    <w:rsid w:val="004A208F"/>
    <w:rsid w:val="004A455D"/>
    <w:rsid w:val="004A6C86"/>
    <w:rsid w:val="004B0769"/>
    <w:rsid w:val="004B2BD2"/>
    <w:rsid w:val="004B32FC"/>
    <w:rsid w:val="004B670A"/>
    <w:rsid w:val="004B79FB"/>
    <w:rsid w:val="004C02CE"/>
    <w:rsid w:val="004C213B"/>
    <w:rsid w:val="004C5BCA"/>
    <w:rsid w:val="004C6681"/>
    <w:rsid w:val="004D0BE3"/>
    <w:rsid w:val="004D37F1"/>
    <w:rsid w:val="004D41F0"/>
    <w:rsid w:val="004D4F02"/>
    <w:rsid w:val="004D6423"/>
    <w:rsid w:val="004D6BCF"/>
    <w:rsid w:val="004D71A6"/>
    <w:rsid w:val="004E1133"/>
    <w:rsid w:val="004E3B9D"/>
    <w:rsid w:val="004E422C"/>
    <w:rsid w:val="004E7D40"/>
    <w:rsid w:val="004F0CB0"/>
    <w:rsid w:val="004F1B46"/>
    <w:rsid w:val="004F3833"/>
    <w:rsid w:val="004F541C"/>
    <w:rsid w:val="004F5608"/>
    <w:rsid w:val="004F58C7"/>
    <w:rsid w:val="004F5BF8"/>
    <w:rsid w:val="004F64DA"/>
    <w:rsid w:val="004F67F5"/>
    <w:rsid w:val="0050017F"/>
    <w:rsid w:val="0050166F"/>
    <w:rsid w:val="005021C8"/>
    <w:rsid w:val="00502C02"/>
    <w:rsid w:val="00502C12"/>
    <w:rsid w:val="00505257"/>
    <w:rsid w:val="00511FFB"/>
    <w:rsid w:val="0051434B"/>
    <w:rsid w:val="005149CA"/>
    <w:rsid w:val="00514C2F"/>
    <w:rsid w:val="0051539C"/>
    <w:rsid w:val="00515581"/>
    <w:rsid w:val="00515892"/>
    <w:rsid w:val="00515B7B"/>
    <w:rsid w:val="00520423"/>
    <w:rsid w:val="005212AD"/>
    <w:rsid w:val="00521CF8"/>
    <w:rsid w:val="00521F01"/>
    <w:rsid w:val="00522A93"/>
    <w:rsid w:val="00522B8E"/>
    <w:rsid w:val="00523A3D"/>
    <w:rsid w:val="00524761"/>
    <w:rsid w:val="005266F3"/>
    <w:rsid w:val="00526F35"/>
    <w:rsid w:val="00527FB5"/>
    <w:rsid w:val="00530444"/>
    <w:rsid w:val="0053083E"/>
    <w:rsid w:val="00532F15"/>
    <w:rsid w:val="0053337B"/>
    <w:rsid w:val="005372F3"/>
    <w:rsid w:val="005401D3"/>
    <w:rsid w:val="005443BE"/>
    <w:rsid w:val="005459F0"/>
    <w:rsid w:val="005459FD"/>
    <w:rsid w:val="00545BEE"/>
    <w:rsid w:val="005466F6"/>
    <w:rsid w:val="00551207"/>
    <w:rsid w:val="00551DA7"/>
    <w:rsid w:val="00552B11"/>
    <w:rsid w:val="00552EC8"/>
    <w:rsid w:val="005539F8"/>
    <w:rsid w:val="00555C63"/>
    <w:rsid w:val="005561A9"/>
    <w:rsid w:val="00564678"/>
    <w:rsid w:val="00564904"/>
    <w:rsid w:val="005668B0"/>
    <w:rsid w:val="00567276"/>
    <w:rsid w:val="005679AA"/>
    <w:rsid w:val="005736AA"/>
    <w:rsid w:val="005740DF"/>
    <w:rsid w:val="00575AD4"/>
    <w:rsid w:val="00575AE0"/>
    <w:rsid w:val="0057641C"/>
    <w:rsid w:val="0057657C"/>
    <w:rsid w:val="00581CC8"/>
    <w:rsid w:val="005823C0"/>
    <w:rsid w:val="00586F7D"/>
    <w:rsid w:val="005875D9"/>
    <w:rsid w:val="00587841"/>
    <w:rsid w:val="00587B38"/>
    <w:rsid w:val="00590D97"/>
    <w:rsid w:val="00591FB7"/>
    <w:rsid w:val="00592E94"/>
    <w:rsid w:val="005A21D9"/>
    <w:rsid w:val="005A7229"/>
    <w:rsid w:val="005B1A33"/>
    <w:rsid w:val="005B1F28"/>
    <w:rsid w:val="005B301D"/>
    <w:rsid w:val="005B37EA"/>
    <w:rsid w:val="005B4AEA"/>
    <w:rsid w:val="005B4FE1"/>
    <w:rsid w:val="005B549B"/>
    <w:rsid w:val="005C132E"/>
    <w:rsid w:val="005C30F6"/>
    <w:rsid w:val="005C43CE"/>
    <w:rsid w:val="005C7738"/>
    <w:rsid w:val="005C7EBA"/>
    <w:rsid w:val="005D3841"/>
    <w:rsid w:val="005D5FF5"/>
    <w:rsid w:val="005E245F"/>
    <w:rsid w:val="005E2600"/>
    <w:rsid w:val="005E2CF6"/>
    <w:rsid w:val="005E3E2A"/>
    <w:rsid w:val="005E6881"/>
    <w:rsid w:val="005F1B8E"/>
    <w:rsid w:val="005F212D"/>
    <w:rsid w:val="005F2CAC"/>
    <w:rsid w:val="005F31CF"/>
    <w:rsid w:val="005F3A81"/>
    <w:rsid w:val="005F3FAF"/>
    <w:rsid w:val="005F6A55"/>
    <w:rsid w:val="005F78C8"/>
    <w:rsid w:val="00600F7A"/>
    <w:rsid w:val="00601D19"/>
    <w:rsid w:val="0060276E"/>
    <w:rsid w:val="006037EB"/>
    <w:rsid w:val="00603A1A"/>
    <w:rsid w:val="00604588"/>
    <w:rsid w:val="00604EC8"/>
    <w:rsid w:val="00605BD8"/>
    <w:rsid w:val="00606894"/>
    <w:rsid w:val="0060689E"/>
    <w:rsid w:val="00607D64"/>
    <w:rsid w:val="00612121"/>
    <w:rsid w:val="00612CFA"/>
    <w:rsid w:val="006136E6"/>
    <w:rsid w:val="00613713"/>
    <w:rsid w:val="00613ABB"/>
    <w:rsid w:val="00613E08"/>
    <w:rsid w:val="00616BD6"/>
    <w:rsid w:val="006177D0"/>
    <w:rsid w:val="00620084"/>
    <w:rsid w:val="006210F3"/>
    <w:rsid w:val="00622AC7"/>
    <w:rsid w:val="006232F3"/>
    <w:rsid w:val="00624904"/>
    <w:rsid w:val="006253B4"/>
    <w:rsid w:val="00625851"/>
    <w:rsid w:val="00625E42"/>
    <w:rsid w:val="00626605"/>
    <w:rsid w:val="00627D1D"/>
    <w:rsid w:val="0063158A"/>
    <w:rsid w:val="006324C6"/>
    <w:rsid w:val="00632F7C"/>
    <w:rsid w:val="006337A8"/>
    <w:rsid w:val="00633FDD"/>
    <w:rsid w:val="00635193"/>
    <w:rsid w:val="006373C5"/>
    <w:rsid w:val="00641F96"/>
    <w:rsid w:val="0064202D"/>
    <w:rsid w:val="006421EA"/>
    <w:rsid w:val="006427D3"/>
    <w:rsid w:val="00643027"/>
    <w:rsid w:val="00643ABF"/>
    <w:rsid w:val="0064537F"/>
    <w:rsid w:val="0064766F"/>
    <w:rsid w:val="006476B1"/>
    <w:rsid w:val="006503BB"/>
    <w:rsid w:val="00650E59"/>
    <w:rsid w:val="00652812"/>
    <w:rsid w:val="006529D9"/>
    <w:rsid w:val="00653569"/>
    <w:rsid w:val="00654750"/>
    <w:rsid w:val="0065505C"/>
    <w:rsid w:val="00656135"/>
    <w:rsid w:val="00657E18"/>
    <w:rsid w:val="00660DEA"/>
    <w:rsid w:val="006617CF"/>
    <w:rsid w:val="00664BE6"/>
    <w:rsid w:val="00666548"/>
    <w:rsid w:val="0066716C"/>
    <w:rsid w:val="00667875"/>
    <w:rsid w:val="006701F4"/>
    <w:rsid w:val="00671D28"/>
    <w:rsid w:val="006726E7"/>
    <w:rsid w:val="00672C2D"/>
    <w:rsid w:val="006733FC"/>
    <w:rsid w:val="006743A9"/>
    <w:rsid w:val="00674CC9"/>
    <w:rsid w:val="006751DB"/>
    <w:rsid w:val="00680FDB"/>
    <w:rsid w:val="006815CE"/>
    <w:rsid w:val="006819C6"/>
    <w:rsid w:val="00684035"/>
    <w:rsid w:val="0068580A"/>
    <w:rsid w:val="00686D94"/>
    <w:rsid w:val="00686ECC"/>
    <w:rsid w:val="006949DC"/>
    <w:rsid w:val="006953B7"/>
    <w:rsid w:val="006A0D06"/>
    <w:rsid w:val="006A3CCE"/>
    <w:rsid w:val="006A5227"/>
    <w:rsid w:val="006B2E94"/>
    <w:rsid w:val="006B5205"/>
    <w:rsid w:val="006B731C"/>
    <w:rsid w:val="006B7400"/>
    <w:rsid w:val="006B7A06"/>
    <w:rsid w:val="006B7C57"/>
    <w:rsid w:val="006C1B85"/>
    <w:rsid w:val="006C2E01"/>
    <w:rsid w:val="006C2F83"/>
    <w:rsid w:val="006C35CB"/>
    <w:rsid w:val="006C5224"/>
    <w:rsid w:val="006C581F"/>
    <w:rsid w:val="006D01E6"/>
    <w:rsid w:val="006D066C"/>
    <w:rsid w:val="006D58C6"/>
    <w:rsid w:val="006D6612"/>
    <w:rsid w:val="006D7FE4"/>
    <w:rsid w:val="006E125B"/>
    <w:rsid w:val="006E39C8"/>
    <w:rsid w:val="006E4175"/>
    <w:rsid w:val="006E4C8B"/>
    <w:rsid w:val="006E57F1"/>
    <w:rsid w:val="006E587B"/>
    <w:rsid w:val="006F09A2"/>
    <w:rsid w:val="006F6B6E"/>
    <w:rsid w:val="006F7D27"/>
    <w:rsid w:val="00702349"/>
    <w:rsid w:val="00702BE1"/>
    <w:rsid w:val="00704D9D"/>
    <w:rsid w:val="007062A0"/>
    <w:rsid w:val="007069B8"/>
    <w:rsid w:val="0071034D"/>
    <w:rsid w:val="007104A3"/>
    <w:rsid w:val="00715C7C"/>
    <w:rsid w:val="00715FDE"/>
    <w:rsid w:val="0072027F"/>
    <w:rsid w:val="00720C9D"/>
    <w:rsid w:val="00720E7A"/>
    <w:rsid w:val="00722473"/>
    <w:rsid w:val="00733178"/>
    <w:rsid w:val="0073383C"/>
    <w:rsid w:val="00734823"/>
    <w:rsid w:val="00737D33"/>
    <w:rsid w:val="007402C9"/>
    <w:rsid w:val="00740D5F"/>
    <w:rsid w:val="00741725"/>
    <w:rsid w:val="00741B90"/>
    <w:rsid w:val="007421D2"/>
    <w:rsid w:val="00743A89"/>
    <w:rsid w:val="0074542B"/>
    <w:rsid w:val="00745F2F"/>
    <w:rsid w:val="00746ED6"/>
    <w:rsid w:val="0075018E"/>
    <w:rsid w:val="0075055D"/>
    <w:rsid w:val="007509D6"/>
    <w:rsid w:val="0075296C"/>
    <w:rsid w:val="00753294"/>
    <w:rsid w:val="007533EF"/>
    <w:rsid w:val="00754727"/>
    <w:rsid w:val="007604C5"/>
    <w:rsid w:val="00761465"/>
    <w:rsid w:val="00761E6B"/>
    <w:rsid w:val="007665EA"/>
    <w:rsid w:val="00766657"/>
    <w:rsid w:val="00766A0E"/>
    <w:rsid w:val="007708FE"/>
    <w:rsid w:val="00771AF8"/>
    <w:rsid w:val="00774B43"/>
    <w:rsid w:val="0077538E"/>
    <w:rsid w:val="00775B21"/>
    <w:rsid w:val="007773CF"/>
    <w:rsid w:val="007805DC"/>
    <w:rsid w:val="007806B0"/>
    <w:rsid w:val="0078203C"/>
    <w:rsid w:val="007824CC"/>
    <w:rsid w:val="007834A9"/>
    <w:rsid w:val="00783B19"/>
    <w:rsid w:val="00785519"/>
    <w:rsid w:val="00787072"/>
    <w:rsid w:val="00791BC4"/>
    <w:rsid w:val="00791DB5"/>
    <w:rsid w:val="00792EDB"/>
    <w:rsid w:val="007939B2"/>
    <w:rsid w:val="007943D6"/>
    <w:rsid w:val="00795D66"/>
    <w:rsid w:val="00795F6F"/>
    <w:rsid w:val="00796229"/>
    <w:rsid w:val="007972F5"/>
    <w:rsid w:val="00797EEC"/>
    <w:rsid w:val="007A0BB0"/>
    <w:rsid w:val="007A2DF0"/>
    <w:rsid w:val="007A5490"/>
    <w:rsid w:val="007A6363"/>
    <w:rsid w:val="007B5B97"/>
    <w:rsid w:val="007B6B03"/>
    <w:rsid w:val="007C1B50"/>
    <w:rsid w:val="007C1D7B"/>
    <w:rsid w:val="007C71E9"/>
    <w:rsid w:val="007D46A2"/>
    <w:rsid w:val="007D4A35"/>
    <w:rsid w:val="007D52E5"/>
    <w:rsid w:val="007E00BA"/>
    <w:rsid w:val="007E1319"/>
    <w:rsid w:val="007E6DB5"/>
    <w:rsid w:val="007E72D4"/>
    <w:rsid w:val="007F0219"/>
    <w:rsid w:val="007F11E1"/>
    <w:rsid w:val="007F2672"/>
    <w:rsid w:val="007F3879"/>
    <w:rsid w:val="00800388"/>
    <w:rsid w:val="00801A3E"/>
    <w:rsid w:val="008024C0"/>
    <w:rsid w:val="008031A2"/>
    <w:rsid w:val="0080338B"/>
    <w:rsid w:val="00803440"/>
    <w:rsid w:val="00804B84"/>
    <w:rsid w:val="0080514A"/>
    <w:rsid w:val="00805C2C"/>
    <w:rsid w:val="0080697F"/>
    <w:rsid w:val="00806CB6"/>
    <w:rsid w:val="00806F5E"/>
    <w:rsid w:val="00806FF2"/>
    <w:rsid w:val="00812A8F"/>
    <w:rsid w:val="00812B48"/>
    <w:rsid w:val="00813505"/>
    <w:rsid w:val="00814944"/>
    <w:rsid w:val="008179E9"/>
    <w:rsid w:val="00820B5C"/>
    <w:rsid w:val="0082370C"/>
    <w:rsid w:val="0082609D"/>
    <w:rsid w:val="00827EA3"/>
    <w:rsid w:val="00830120"/>
    <w:rsid w:val="0083135E"/>
    <w:rsid w:val="00832A2D"/>
    <w:rsid w:val="00834176"/>
    <w:rsid w:val="00834D56"/>
    <w:rsid w:val="0083675F"/>
    <w:rsid w:val="00837BDD"/>
    <w:rsid w:val="00841EC8"/>
    <w:rsid w:val="00842E77"/>
    <w:rsid w:val="00842EC7"/>
    <w:rsid w:val="0084330D"/>
    <w:rsid w:val="008443BE"/>
    <w:rsid w:val="00845997"/>
    <w:rsid w:val="00845BF1"/>
    <w:rsid w:val="008510AC"/>
    <w:rsid w:val="00852446"/>
    <w:rsid w:val="00856CF6"/>
    <w:rsid w:val="00856FEF"/>
    <w:rsid w:val="0085780F"/>
    <w:rsid w:val="00861F24"/>
    <w:rsid w:val="00862069"/>
    <w:rsid w:val="008631FC"/>
    <w:rsid w:val="00866732"/>
    <w:rsid w:val="00866B95"/>
    <w:rsid w:val="008670B7"/>
    <w:rsid w:val="008702E9"/>
    <w:rsid w:val="00870FA6"/>
    <w:rsid w:val="008734C1"/>
    <w:rsid w:val="00874F56"/>
    <w:rsid w:val="0087502E"/>
    <w:rsid w:val="00875967"/>
    <w:rsid w:val="00880021"/>
    <w:rsid w:val="00880367"/>
    <w:rsid w:val="008841A2"/>
    <w:rsid w:val="00884A37"/>
    <w:rsid w:val="00884D6C"/>
    <w:rsid w:val="008851AE"/>
    <w:rsid w:val="00885720"/>
    <w:rsid w:val="008864D9"/>
    <w:rsid w:val="00887BA1"/>
    <w:rsid w:val="008916C7"/>
    <w:rsid w:val="0089551A"/>
    <w:rsid w:val="00895D16"/>
    <w:rsid w:val="008A0B65"/>
    <w:rsid w:val="008A52A1"/>
    <w:rsid w:val="008A5F60"/>
    <w:rsid w:val="008A6500"/>
    <w:rsid w:val="008A711D"/>
    <w:rsid w:val="008B008D"/>
    <w:rsid w:val="008B013D"/>
    <w:rsid w:val="008B30EA"/>
    <w:rsid w:val="008B4196"/>
    <w:rsid w:val="008B49D9"/>
    <w:rsid w:val="008B6105"/>
    <w:rsid w:val="008B7057"/>
    <w:rsid w:val="008B7450"/>
    <w:rsid w:val="008B7F9D"/>
    <w:rsid w:val="008C0EF2"/>
    <w:rsid w:val="008C2646"/>
    <w:rsid w:val="008C47E9"/>
    <w:rsid w:val="008D1E64"/>
    <w:rsid w:val="008D27EC"/>
    <w:rsid w:val="008D3066"/>
    <w:rsid w:val="008D33CB"/>
    <w:rsid w:val="008D5A1E"/>
    <w:rsid w:val="008D6051"/>
    <w:rsid w:val="008D7C46"/>
    <w:rsid w:val="008D7E25"/>
    <w:rsid w:val="008E169E"/>
    <w:rsid w:val="008E4218"/>
    <w:rsid w:val="008E5225"/>
    <w:rsid w:val="008E7C7C"/>
    <w:rsid w:val="008F3E59"/>
    <w:rsid w:val="008F56AB"/>
    <w:rsid w:val="00900CC9"/>
    <w:rsid w:val="00901DD6"/>
    <w:rsid w:val="00902581"/>
    <w:rsid w:val="009029BA"/>
    <w:rsid w:val="009030E7"/>
    <w:rsid w:val="00904E5A"/>
    <w:rsid w:val="0090534F"/>
    <w:rsid w:val="00905A73"/>
    <w:rsid w:val="009073DF"/>
    <w:rsid w:val="00907557"/>
    <w:rsid w:val="00907BA4"/>
    <w:rsid w:val="00907CB2"/>
    <w:rsid w:val="0091114E"/>
    <w:rsid w:val="00911827"/>
    <w:rsid w:val="00912AE5"/>
    <w:rsid w:val="00912E82"/>
    <w:rsid w:val="0091359C"/>
    <w:rsid w:val="00913F62"/>
    <w:rsid w:val="0091504C"/>
    <w:rsid w:val="00916829"/>
    <w:rsid w:val="009175DC"/>
    <w:rsid w:val="00920B4E"/>
    <w:rsid w:val="00920FCA"/>
    <w:rsid w:val="00922FF3"/>
    <w:rsid w:val="00923450"/>
    <w:rsid w:val="00924429"/>
    <w:rsid w:val="009263A3"/>
    <w:rsid w:val="009277A0"/>
    <w:rsid w:val="009300E7"/>
    <w:rsid w:val="00933D8F"/>
    <w:rsid w:val="00935FFA"/>
    <w:rsid w:val="00937F2B"/>
    <w:rsid w:val="009420D9"/>
    <w:rsid w:val="009436F3"/>
    <w:rsid w:val="00946394"/>
    <w:rsid w:val="0094687A"/>
    <w:rsid w:val="00946DCA"/>
    <w:rsid w:val="00947049"/>
    <w:rsid w:val="00947477"/>
    <w:rsid w:val="00947E30"/>
    <w:rsid w:val="00950F74"/>
    <w:rsid w:val="00952B6D"/>
    <w:rsid w:val="00956356"/>
    <w:rsid w:val="00956380"/>
    <w:rsid w:val="00960FC2"/>
    <w:rsid w:val="0096188C"/>
    <w:rsid w:val="0096417B"/>
    <w:rsid w:val="009646C3"/>
    <w:rsid w:val="0096675A"/>
    <w:rsid w:val="009730B0"/>
    <w:rsid w:val="00975A84"/>
    <w:rsid w:val="00976094"/>
    <w:rsid w:val="0097689B"/>
    <w:rsid w:val="00977535"/>
    <w:rsid w:val="00977579"/>
    <w:rsid w:val="009806E6"/>
    <w:rsid w:val="00980E68"/>
    <w:rsid w:val="00982090"/>
    <w:rsid w:val="0098212F"/>
    <w:rsid w:val="00983B65"/>
    <w:rsid w:val="00984000"/>
    <w:rsid w:val="00984905"/>
    <w:rsid w:val="00985730"/>
    <w:rsid w:val="009908CD"/>
    <w:rsid w:val="00990C64"/>
    <w:rsid w:val="00990DF6"/>
    <w:rsid w:val="0099124A"/>
    <w:rsid w:val="00991B27"/>
    <w:rsid w:val="00993FF5"/>
    <w:rsid w:val="00995AFD"/>
    <w:rsid w:val="0099618A"/>
    <w:rsid w:val="00997B26"/>
    <w:rsid w:val="009A2B12"/>
    <w:rsid w:val="009A3C47"/>
    <w:rsid w:val="009A3CEE"/>
    <w:rsid w:val="009A3E5A"/>
    <w:rsid w:val="009A51C8"/>
    <w:rsid w:val="009A6350"/>
    <w:rsid w:val="009A6FA9"/>
    <w:rsid w:val="009A72A4"/>
    <w:rsid w:val="009A7F20"/>
    <w:rsid w:val="009B0BC1"/>
    <w:rsid w:val="009B1A8C"/>
    <w:rsid w:val="009B6563"/>
    <w:rsid w:val="009B6F6A"/>
    <w:rsid w:val="009C5B93"/>
    <w:rsid w:val="009C5CD5"/>
    <w:rsid w:val="009C64F6"/>
    <w:rsid w:val="009D1BB8"/>
    <w:rsid w:val="009D32C2"/>
    <w:rsid w:val="009D42EB"/>
    <w:rsid w:val="009D44F9"/>
    <w:rsid w:val="009D5741"/>
    <w:rsid w:val="009D698A"/>
    <w:rsid w:val="009D6C57"/>
    <w:rsid w:val="009D7863"/>
    <w:rsid w:val="009E0B33"/>
    <w:rsid w:val="009E21EE"/>
    <w:rsid w:val="009E3257"/>
    <w:rsid w:val="009E4272"/>
    <w:rsid w:val="009E784D"/>
    <w:rsid w:val="009F4709"/>
    <w:rsid w:val="009F5632"/>
    <w:rsid w:val="009F7592"/>
    <w:rsid w:val="00A048A0"/>
    <w:rsid w:val="00A055B4"/>
    <w:rsid w:val="00A118C6"/>
    <w:rsid w:val="00A1331D"/>
    <w:rsid w:val="00A137D7"/>
    <w:rsid w:val="00A15B67"/>
    <w:rsid w:val="00A2123F"/>
    <w:rsid w:val="00A219E7"/>
    <w:rsid w:val="00A21DB5"/>
    <w:rsid w:val="00A25792"/>
    <w:rsid w:val="00A26CDD"/>
    <w:rsid w:val="00A27397"/>
    <w:rsid w:val="00A27762"/>
    <w:rsid w:val="00A27D39"/>
    <w:rsid w:val="00A32A0B"/>
    <w:rsid w:val="00A34933"/>
    <w:rsid w:val="00A34ADB"/>
    <w:rsid w:val="00A35902"/>
    <w:rsid w:val="00A41687"/>
    <w:rsid w:val="00A41CDE"/>
    <w:rsid w:val="00A4255A"/>
    <w:rsid w:val="00A46B52"/>
    <w:rsid w:val="00A4763A"/>
    <w:rsid w:val="00A47A3F"/>
    <w:rsid w:val="00A5295E"/>
    <w:rsid w:val="00A54A58"/>
    <w:rsid w:val="00A556B8"/>
    <w:rsid w:val="00A57A74"/>
    <w:rsid w:val="00A6004A"/>
    <w:rsid w:val="00A612E2"/>
    <w:rsid w:val="00A6261C"/>
    <w:rsid w:val="00A629DC"/>
    <w:rsid w:val="00A62EC1"/>
    <w:rsid w:val="00A65236"/>
    <w:rsid w:val="00A65F4C"/>
    <w:rsid w:val="00A669F5"/>
    <w:rsid w:val="00A67AEC"/>
    <w:rsid w:val="00A73273"/>
    <w:rsid w:val="00A73A97"/>
    <w:rsid w:val="00A75067"/>
    <w:rsid w:val="00A75D84"/>
    <w:rsid w:val="00A777D1"/>
    <w:rsid w:val="00A7783C"/>
    <w:rsid w:val="00A80A6D"/>
    <w:rsid w:val="00A81B33"/>
    <w:rsid w:val="00A854C3"/>
    <w:rsid w:val="00A862F9"/>
    <w:rsid w:val="00A863BC"/>
    <w:rsid w:val="00A878C3"/>
    <w:rsid w:val="00A91A27"/>
    <w:rsid w:val="00A92951"/>
    <w:rsid w:val="00A92D96"/>
    <w:rsid w:val="00A9317C"/>
    <w:rsid w:val="00A9558B"/>
    <w:rsid w:val="00A9769E"/>
    <w:rsid w:val="00AA1007"/>
    <w:rsid w:val="00AA1755"/>
    <w:rsid w:val="00AA209E"/>
    <w:rsid w:val="00AA2355"/>
    <w:rsid w:val="00AA273B"/>
    <w:rsid w:val="00AA2F43"/>
    <w:rsid w:val="00AA32B2"/>
    <w:rsid w:val="00AA4C6D"/>
    <w:rsid w:val="00AA71B5"/>
    <w:rsid w:val="00AB0E37"/>
    <w:rsid w:val="00AB1E2D"/>
    <w:rsid w:val="00AB311F"/>
    <w:rsid w:val="00AB42DA"/>
    <w:rsid w:val="00AB724F"/>
    <w:rsid w:val="00AC0A77"/>
    <w:rsid w:val="00AC0E70"/>
    <w:rsid w:val="00AC1B41"/>
    <w:rsid w:val="00AC1E7A"/>
    <w:rsid w:val="00AC5118"/>
    <w:rsid w:val="00AC5FAA"/>
    <w:rsid w:val="00AC6843"/>
    <w:rsid w:val="00AC6AAA"/>
    <w:rsid w:val="00AC7B50"/>
    <w:rsid w:val="00AD0126"/>
    <w:rsid w:val="00AD3415"/>
    <w:rsid w:val="00AD59AA"/>
    <w:rsid w:val="00AE2815"/>
    <w:rsid w:val="00AE2BD4"/>
    <w:rsid w:val="00AE42FA"/>
    <w:rsid w:val="00AE628C"/>
    <w:rsid w:val="00AE71D5"/>
    <w:rsid w:val="00AE77A3"/>
    <w:rsid w:val="00AF2126"/>
    <w:rsid w:val="00AF31D2"/>
    <w:rsid w:val="00AF77B5"/>
    <w:rsid w:val="00B01933"/>
    <w:rsid w:val="00B03133"/>
    <w:rsid w:val="00B0356B"/>
    <w:rsid w:val="00B0394C"/>
    <w:rsid w:val="00B0415D"/>
    <w:rsid w:val="00B0532F"/>
    <w:rsid w:val="00B06F08"/>
    <w:rsid w:val="00B0778A"/>
    <w:rsid w:val="00B07A3C"/>
    <w:rsid w:val="00B1212A"/>
    <w:rsid w:val="00B13287"/>
    <w:rsid w:val="00B15127"/>
    <w:rsid w:val="00B15C54"/>
    <w:rsid w:val="00B16A3E"/>
    <w:rsid w:val="00B178F5"/>
    <w:rsid w:val="00B213D5"/>
    <w:rsid w:val="00B21D0F"/>
    <w:rsid w:val="00B2306D"/>
    <w:rsid w:val="00B2381F"/>
    <w:rsid w:val="00B30AC3"/>
    <w:rsid w:val="00B32485"/>
    <w:rsid w:val="00B32873"/>
    <w:rsid w:val="00B330C8"/>
    <w:rsid w:val="00B34C4A"/>
    <w:rsid w:val="00B364C1"/>
    <w:rsid w:val="00B37275"/>
    <w:rsid w:val="00B4207A"/>
    <w:rsid w:val="00B423A9"/>
    <w:rsid w:val="00B447D9"/>
    <w:rsid w:val="00B44D97"/>
    <w:rsid w:val="00B4535B"/>
    <w:rsid w:val="00B51061"/>
    <w:rsid w:val="00B51C00"/>
    <w:rsid w:val="00B5446F"/>
    <w:rsid w:val="00B550E4"/>
    <w:rsid w:val="00B5564F"/>
    <w:rsid w:val="00B576BD"/>
    <w:rsid w:val="00B5794B"/>
    <w:rsid w:val="00B60D81"/>
    <w:rsid w:val="00B62C9C"/>
    <w:rsid w:val="00B64039"/>
    <w:rsid w:val="00B6501C"/>
    <w:rsid w:val="00B65273"/>
    <w:rsid w:val="00B66363"/>
    <w:rsid w:val="00B67350"/>
    <w:rsid w:val="00B70CD7"/>
    <w:rsid w:val="00B70F12"/>
    <w:rsid w:val="00B71FBB"/>
    <w:rsid w:val="00B72333"/>
    <w:rsid w:val="00B76F0C"/>
    <w:rsid w:val="00B77A1B"/>
    <w:rsid w:val="00B80B2F"/>
    <w:rsid w:val="00B80F17"/>
    <w:rsid w:val="00B81751"/>
    <w:rsid w:val="00B825C9"/>
    <w:rsid w:val="00B83128"/>
    <w:rsid w:val="00B867D1"/>
    <w:rsid w:val="00B86D2B"/>
    <w:rsid w:val="00B92B8B"/>
    <w:rsid w:val="00B95AA1"/>
    <w:rsid w:val="00B97CC2"/>
    <w:rsid w:val="00BA2204"/>
    <w:rsid w:val="00BA25B8"/>
    <w:rsid w:val="00BA428A"/>
    <w:rsid w:val="00BA5BFF"/>
    <w:rsid w:val="00BA7348"/>
    <w:rsid w:val="00BA75AE"/>
    <w:rsid w:val="00BA79C1"/>
    <w:rsid w:val="00BB10FE"/>
    <w:rsid w:val="00BB25DF"/>
    <w:rsid w:val="00BB2855"/>
    <w:rsid w:val="00BB2DC1"/>
    <w:rsid w:val="00BB3E2A"/>
    <w:rsid w:val="00BB544A"/>
    <w:rsid w:val="00BC162C"/>
    <w:rsid w:val="00BC4484"/>
    <w:rsid w:val="00BC6866"/>
    <w:rsid w:val="00BC6F97"/>
    <w:rsid w:val="00BD1E59"/>
    <w:rsid w:val="00BD1E96"/>
    <w:rsid w:val="00BD2903"/>
    <w:rsid w:val="00BD2A31"/>
    <w:rsid w:val="00BD2B9D"/>
    <w:rsid w:val="00BD3F21"/>
    <w:rsid w:val="00BD4073"/>
    <w:rsid w:val="00BD58D0"/>
    <w:rsid w:val="00BE0594"/>
    <w:rsid w:val="00BE06EF"/>
    <w:rsid w:val="00BE08E1"/>
    <w:rsid w:val="00BE10A2"/>
    <w:rsid w:val="00BE18B5"/>
    <w:rsid w:val="00BE2F89"/>
    <w:rsid w:val="00BE57EF"/>
    <w:rsid w:val="00BE694B"/>
    <w:rsid w:val="00BE75FD"/>
    <w:rsid w:val="00BE7FC4"/>
    <w:rsid w:val="00BF01D8"/>
    <w:rsid w:val="00BF024F"/>
    <w:rsid w:val="00BF083E"/>
    <w:rsid w:val="00BF14F9"/>
    <w:rsid w:val="00BF5125"/>
    <w:rsid w:val="00BF515F"/>
    <w:rsid w:val="00BF5169"/>
    <w:rsid w:val="00BF5238"/>
    <w:rsid w:val="00BF5361"/>
    <w:rsid w:val="00C00757"/>
    <w:rsid w:val="00C02F8E"/>
    <w:rsid w:val="00C04C80"/>
    <w:rsid w:val="00C0639C"/>
    <w:rsid w:val="00C06838"/>
    <w:rsid w:val="00C124DF"/>
    <w:rsid w:val="00C12FAF"/>
    <w:rsid w:val="00C13800"/>
    <w:rsid w:val="00C13E80"/>
    <w:rsid w:val="00C1420D"/>
    <w:rsid w:val="00C15D22"/>
    <w:rsid w:val="00C16290"/>
    <w:rsid w:val="00C21E6D"/>
    <w:rsid w:val="00C2265B"/>
    <w:rsid w:val="00C22EE0"/>
    <w:rsid w:val="00C23A9A"/>
    <w:rsid w:val="00C24968"/>
    <w:rsid w:val="00C24D67"/>
    <w:rsid w:val="00C26D65"/>
    <w:rsid w:val="00C273A8"/>
    <w:rsid w:val="00C32663"/>
    <w:rsid w:val="00C334FE"/>
    <w:rsid w:val="00C34A93"/>
    <w:rsid w:val="00C34E65"/>
    <w:rsid w:val="00C3662B"/>
    <w:rsid w:val="00C40136"/>
    <w:rsid w:val="00C40D94"/>
    <w:rsid w:val="00C41162"/>
    <w:rsid w:val="00C412BA"/>
    <w:rsid w:val="00C41C31"/>
    <w:rsid w:val="00C41EB9"/>
    <w:rsid w:val="00C428DC"/>
    <w:rsid w:val="00C42D4C"/>
    <w:rsid w:val="00C439FB"/>
    <w:rsid w:val="00C44B9D"/>
    <w:rsid w:val="00C44EC6"/>
    <w:rsid w:val="00C45EC3"/>
    <w:rsid w:val="00C477B9"/>
    <w:rsid w:val="00C5119C"/>
    <w:rsid w:val="00C51FC4"/>
    <w:rsid w:val="00C52DB5"/>
    <w:rsid w:val="00C566E9"/>
    <w:rsid w:val="00C579FD"/>
    <w:rsid w:val="00C6028E"/>
    <w:rsid w:val="00C616FE"/>
    <w:rsid w:val="00C61894"/>
    <w:rsid w:val="00C62DF0"/>
    <w:rsid w:val="00C64000"/>
    <w:rsid w:val="00C640D6"/>
    <w:rsid w:val="00C66EFB"/>
    <w:rsid w:val="00C673B5"/>
    <w:rsid w:val="00C70B8F"/>
    <w:rsid w:val="00C70CC2"/>
    <w:rsid w:val="00C73F7C"/>
    <w:rsid w:val="00C740BB"/>
    <w:rsid w:val="00C7437E"/>
    <w:rsid w:val="00C77B1A"/>
    <w:rsid w:val="00C80648"/>
    <w:rsid w:val="00C817C5"/>
    <w:rsid w:val="00C83462"/>
    <w:rsid w:val="00C84129"/>
    <w:rsid w:val="00C8429F"/>
    <w:rsid w:val="00C844B2"/>
    <w:rsid w:val="00C90404"/>
    <w:rsid w:val="00C905C5"/>
    <w:rsid w:val="00C9343C"/>
    <w:rsid w:val="00C955AB"/>
    <w:rsid w:val="00C96C9E"/>
    <w:rsid w:val="00C96FD6"/>
    <w:rsid w:val="00C97821"/>
    <w:rsid w:val="00C97F20"/>
    <w:rsid w:val="00CA0550"/>
    <w:rsid w:val="00CA1F91"/>
    <w:rsid w:val="00CA30B0"/>
    <w:rsid w:val="00CA5355"/>
    <w:rsid w:val="00CA58BF"/>
    <w:rsid w:val="00CB1E2C"/>
    <w:rsid w:val="00CB659C"/>
    <w:rsid w:val="00CB73C9"/>
    <w:rsid w:val="00CB7DD2"/>
    <w:rsid w:val="00CC02A2"/>
    <w:rsid w:val="00CC04D9"/>
    <w:rsid w:val="00CC0AEC"/>
    <w:rsid w:val="00CC5865"/>
    <w:rsid w:val="00CD00B3"/>
    <w:rsid w:val="00CD20BD"/>
    <w:rsid w:val="00CD74A4"/>
    <w:rsid w:val="00CE1338"/>
    <w:rsid w:val="00CE1EEB"/>
    <w:rsid w:val="00CE2982"/>
    <w:rsid w:val="00CE299D"/>
    <w:rsid w:val="00CE3291"/>
    <w:rsid w:val="00CE4B30"/>
    <w:rsid w:val="00CE4C94"/>
    <w:rsid w:val="00CE7946"/>
    <w:rsid w:val="00CF0AA0"/>
    <w:rsid w:val="00CF0E68"/>
    <w:rsid w:val="00CF2985"/>
    <w:rsid w:val="00CF3F7A"/>
    <w:rsid w:val="00CF407B"/>
    <w:rsid w:val="00CF4BBE"/>
    <w:rsid w:val="00CF4D07"/>
    <w:rsid w:val="00CF7BDB"/>
    <w:rsid w:val="00D00AC7"/>
    <w:rsid w:val="00D00C9C"/>
    <w:rsid w:val="00D01684"/>
    <w:rsid w:val="00D03622"/>
    <w:rsid w:val="00D042D5"/>
    <w:rsid w:val="00D05D8C"/>
    <w:rsid w:val="00D104CE"/>
    <w:rsid w:val="00D10D4A"/>
    <w:rsid w:val="00D12147"/>
    <w:rsid w:val="00D13FA8"/>
    <w:rsid w:val="00D17941"/>
    <w:rsid w:val="00D20AAD"/>
    <w:rsid w:val="00D23A86"/>
    <w:rsid w:val="00D23EB8"/>
    <w:rsid w:val="00D24088"/>
    <w:rsid w:val="00D2454A"/>
    <w:rsid w:val="00D24DAA"/>
    <w:rsid w:val="00D2572F"/>
    <w:rsid w:val="00D2589F"/>
    <w:rsid w:val="00D25D64"/>
    <w:rsid w:val="00D304D0"/>
    <w:rsid w:val="00D311A9"/>
    <w:rsid w:val="00D32349"/>
    <w:rsid w:val="00D33126"/>
    <w:rsid w:val="00D33A61"/>
    <w:rsid w:val="00D40F76"/>
    <w:rsid w:val="00D42710"/>
    <w:rsid w:val="00D430D5"/>
    <w:rsid w:val="00D46458"/>
    <w:rsid w:val="00D5243D"/>
    <w:rsid w:val="00D57A04"/>
    <w:rsid w:val="00D62BC7"/>
    <w:rsid w:val="00D62E05"/>
    <w:rsid w:val="00D64676"/>
    <w:rsid w:val="00D65771"/>
    <w:rsid w:val="00D6638A"/>
    <w:rsid w:val="00D6697C"/>
    <w:rsid w:val="00D67280"/>
    <w:rsid w:val="00D7077D"/>
    <w:rsid w:val="00D70DFD"/>
    <w:rsid w:val="00D70F76"/>
    <w:rsid w:val="00D71867"/>
    <w:rsid w:val="00D723F2"/>
    <w:rsid w:val="00D72A40"/>
    <w:rsid w:val="00D752D1"/>
    <w:rsid w:val="00D77C7B"/>
    <w:rsid w:val="00D8191E"/>
    <w:rsid w:val="00D8321F"/>
    <w:rsid w:val="00D837CB"/>
    <w:rsid w:val="00D83FBB"/>
    <w:rsid w:val="00D8495D"/>
    <w:rsid w:val="00D867B0"/>
    <w:rsid w:val="00D87B07"/>
    <w:rsid w:val="00D903EC"/>
    <w:rsid w:val="00D94973"/>
    <w:rsid w:val="00D94B91"/>
    <w:rsid w:val="00D9664A"/>
    <w:rsid w:val="00D97A7D"/>
    <w:rsid w:val="00DA029B"/>
    <w:rsid w:val="00DA3BE6"/>
    <w:rsid w:val="00DA41FD"/>
    <w:rsid w:val="00DB1718"/>
    <w:rsid w:val="00DB2CB7"/>
    <w:rsid w:val="00DB3FAE"/>
    <w:rsid w:val="00DB6A49"/>
    <w:rsid w:val="00DC196F"/>
    <w:rsid w:val="00DC362B"/>
    <w:rsid w:val="00DC3924"/>
    <w:rsid w:val="00DC4D4D"/>
    <w:rsid w:val="00DC6934"/>
    <w:rsid w:val="00DC7C01"/>
    <w:rsid w:val="00DD19B1"/>
    <w:rsid w:val="00DD2274"/>
    <w:rsid w:val="00DD24E0"/>
    <w:rsid w:val="00DD64E5"/>
    <w:rsid w:val="00DD75CA"/>
    <w:rsid w:val="00DE51E4"/>
    <w:rsid w:val="00DE681C"/>
    <w:rsid w:val="00DE7545"/>
    <w:rsid w:val="00DE78D5"/>
    <w:rsid w:val="00DF01E7"/>
    <w:rsid w:val="00DF232F"/>
    <w:rsid w:val="00DF3840"/>
    <w:rsid w:val="00DF5470"/>
    <w:rsid w:val="00DF557A"/>
    <w:rsid w:val="00DF66BC"/>
    <w:rsid w:val="00DF7C51"/>
    <w:rsid w:val="00E0069E"/>
    <w:rsid w:val="00E034E9"/>
    <w:rsid w:val="00E058D1"/>
    <w:rsid w:val="00E05B25"/>
    <w:rsid w:val="00E10139"/>
    <w:rsid w:val="00E10586"/>
    <w:rsid w:val="00E1162C"/>
    <w:rsid w:val="00E11790"/>
    <w:rsid w:val="00E12965"/>
    <w:rsid w:val="00E12D16"/>
    <w:rsid w:val="00E13518"/>
    <w:rsid w:val="00E15E9F"/>
    <w:rsid w:val="00E17DA4"/>
    <w:rsid w:val="00E20873"/>
    <w:rsid w:val="00E2134C"/>
    <w:rsid w:val="00E233CA"/>
    <w:rsid w:val="00E23AF2"/>
    <w:rsid w:val="00E25040"/>
    <w:rsid w:val="00E254FD"/>
    <w:rsid w:val="00E2564F"/>
    <w:rsid w:val="00E27CC4"/>
    <w:rsid w:val="00E3066F"/>
    <w:rsid w:val="00E330FA"/>
    <w:rsid w:val="00E33550"/>
    <w:rsid w:val="00E350F1"/>
    <w:rsid w:val="00E35842"/>
    <w:rsid w:val="00E4026D"/>
    <w:rsid w:val="00E40C8A"/>
    <w:rsid w:val="00E41F48"/>
    <w:rsid w:val="00E42F7D"/>
    <w:rsid w:val="00E4342D"/>
    <w:rsid w:val="00E44B59"/>
    <w:rsid w:val="00E515ED"/>
    <w:rsid w:val="00E54044"/>
    <w:rsid w:val="00E54257"/>
    <w:rsid w:val="00E54DF6"/>
    <w:rsid w:val="00E553A1"/>
    <w:rsid w:val="00E55644"/>
    <w:rsid w:val="00E557C9"/>
    <w:rsid w:val="00E57454"/>
    <w:rsid w:val="00E57E7C"/>
    <w:rsid w:val="00E60DB6"/>
    <w:rsid w:val="00E61147"/>
    <w:rsid w:val="00E623CD"/>
    <w:rsid w:val="00E637AF"/>
    <w:rsid w:val="00E6799A"/>
    <w:rsid w:val="00E70E41"/>
    <w:rsid w:val="00E809F3"/>
    <w:rsid w:val="00E80BC8"/>
    <w:rsid w:val="00E82FDB"/>
    <w:rsid w:val="00E82FFD"/>
    <w:rsid w:val="00E83A8C"/>
    <w:rsid w:val="00E85787"/>
    <w:rsid w:val="00E86B7F"/>
    <w:rsid w:val="00E91D0A"/>
    <w:rsid w:val="00E92FB4"/>
    <w:rsid w:val="00E93B98"/>
    <w:rsid w:val="00E94060"/>
    <w:rsid w:val="00E95568"/>
    <w:rsid w:val="00E96863"/>
    <w:rsid w:val="00E970AE"/>
    <w:rsid w:val="00E978CB"/>
    <w:rsid w:val="00EA1094"/>
    <w:rsid w:val="00EA1637"/>
    <w:rsid w:val="00EA190E"/>
    <w:rsid w:val="00EA3470"/>
    <w:rsid w:val="00EA3991"/>
    <w:rsid w:val="00EA43B1"/>
    <w:rsid w:val="00EA4701"/>
    <w:rsid w:val="00EA770C"/>
    <w:rsid w:val="00EB015F"/>
    <w:rsid w:val="00EB2389"/>
    <w:rsid w:val="00EB5420"/>
    <w:rsid w:val="00EB5935"/>
    <w:rsid w:val="00EB65CB"/>
    <w:rsid w:val="00EC0891"/>
    <w:rsid w:val="00EC5D3C"/>
    <w:rsid w:val="00EC6183"/>
    <w:rsid w:val="00EC6B93"/>
    <w:rsid w:val="00ED70DF"/>
    <w:rsid w:val="00EE02A7"/>
    <w:rsid w:val="00EE0A2E"/>
    <w:rsid w:val="00EE1409"/>
    <w:rsid w:val="00EE1AA4"/>
    <w:rsid w:val="00EE3335"/>
    <w:rsid w:val="00EE4137"/>
    <w:rsid w:val="00EE5ED3"/>
    <w:rsid w:val="00EE6B03"/>
    <w:rsid w:val="00EE6E64"/>
    <w:rsid w:val="00EF5521"/>
    <w:rsid w:val="00EF59A4"/>
    <w:rsid w:val="00EF59B6"/>
    <w:rsid w:val="00EF6662"/>
    <w:rsid w:val="00EF706E"/>
    <w:rsid w:val="00F00901"/>
    <w:rsid w:val="00F01754"/>
    <w:rsid w:val="00F017BE"/>
    <w:rsid w:val="00F02580"/>
    <w:rsid w:val="00F02C2C"/>
    <w:rsid w:val="00F077F5"/>
    <w:rsid w:val="00F10702"/>
    <w:rsid w:val="00F10FDE"/>
    <w:rsid w:val="00F11B4B"/>
    <w:rsid w:val="00F12C61"/>
    <w:rsid w:val="00F159E4"/>
    <w:rsid w:val="00F15B80"/>
    <w:rsid w:val="00F1617A"/>
    <w:rsid w:val="00F1676B"/>
    <w:rsid w:val="00F16BDB"/>
    <w:rsid w:val="00F20080"/>
    <w:rsid w:val="00F2245B"/>
    <w:rsid w:val="00F22BF0"/>
    <w:rsid w:val="00F24E83"/>
    <w:rsid w:val="00F252CB"/>
    <w:rsid w:val="00F269E1"/>
    <w:rsid w:val="00F27965"/>
    <w:rsid w:val="00F30853"/>
    <w:rsid w:val="00F31584"/>
    <w:rsid w:val="00F31B42"/>
    <w:rsid w:val="00F3409C"/>
    <w:rsid w:val="00F35992"/>
    <w:rsid w:val="00F3774E"/>
    <w:rsid w:val="00F42AD9"/>
    <w:rsid w:val="00F44597"/>
    <w:rsid w:val="00F46342"/>
    <w:rsid w:val="00F46E17"/>
    <w:rsid w:val="00F508FA"/>
    <w:rsid w:val="00F530D3"/>
    <w:rsid w:val="00F543C0"/>
    <w:rsid w:val="00F54C88"/>
    <w:rsid w:val="00F55491"/>
    <w:rsid w:val="00F561FD"/>
    <w:rsid w:val="00F56CC5"/>
    <w:rsid w:val="00F573AF"/>
    <w:rsid w:val="00F61A92"/>
    <w:rsid w:val="00F6218E"/>
    <w:rsid w:val="00F62191"/>
    <w:rsid w:val="00F627FF"/>
    <w:rsid w:val="00F62E84"/>
    <w:rsid w:val="00F63451"/>
    <w:rsid w:val="00F63EDF"/>
    <w:rsid w:val="00F65E3B"/>
    <w:rsid w:val="00F6659E"/>
    <w:rsid w:val="00F74F7F"/>
    <w:rsid w:val="00F80705"/>
    <w:rsid w:val="00F8564B"/>
    <w:rsid w:val="00F906F4"/>
    <w:rsid w:val="00F92A1C"/>
    <w:rsid w:val="00F92E08"/>
    <w:rsid w:val="00F93A6C"/>
    <w:rsid w:val="00F979ED"/>
    <w:rsid w:val="00F97E53"/>
    <w:rsid w:val="00FA055D"/>
    <w:rsid w:val="00FA0FF4"/>
    <w:rsid w:val="00FA22A4"/>
    <w:rsid w:val="00FA22BC"/>
    <w:rsid w:val="00FA4E9F"/>
    <w:rsid w:val="00FA5F89"/>
    <w:rsid w:val="00FA608A"/>
    <w:rsid w:val="00FA6AE0"/>
    <w:rsid w:val="00FB2835"/>
    <w:rsid w:val="00FB2C79"/>
    <w:rsid w:val="00FB3000"/>
    <w:rsid w:val="00FB4D27"/>
    <w:rsid w:val="00FB63EA"/>
    <w:rsid w:val="00FC0201"/>
    <w:rsid w:val="00FC3A7E"/>
    <w:rsid w:val="00FC78A8"/>
    <w:rsid w:val="00FD1391"/>
    <w:rsid w:val="00FD2B98"/>
    <w:rsid w:val="00FD5983"/>
    <w:rsid w:val="00FD60A3"/>
    <w:rsid w:val="00FD73FC"/>
    <w:rsid w:val="00FE0275"/>
    <w:rsid w:val="00FE04C7"/>
    <w:rsid w:val="00FE04DE"/>
    <w:rsid w:val="00FE09EA"/>
    <w:rsid w:val="00FE0C65"/>
    <w:rsid w:val="00FE2135"/>
    <w:rsid w:val="00FE2702"/>
    <w:rsid w:val="00FE385A"/>
    <w:rsid w:val="00FE3C1A"/>
    <w:rsid w:val="00FE45D9"/>
    <w:rsid w:val="00FE753A"/>
    <w:rsid w:val="00FE75D8"/>
    <w:rsid w:val="00FE7769"/>
    <w:rsid w:val="00FE78A3"/>
    <w:rsid w:val="00FE7AB7"/>
    <w:rsid w:val="00FF02B2"/>
    <w:rsid w:val="00FF1C56"/>
    <w:rsid w:val="00FF2558"/>
    <w:rsid w:val="00FF3608"/>
    <w:rsid w:val="00FF3D55"/>
    <w:rsid w:val="00FF5BA2"/>
    <w:rsid w:val="00FF65A3"/>
    <w:rsid w:val="00FF7CF9"/>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1936E"/>
  <w15:chartTrackingRefBased/>
  <w15:docId w15:val="{1608073D-E958-4467-AA8E-18C1D5E64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9BA"/>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4F5B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F5B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5B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5B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5B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5BF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5BF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5BF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5BF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5B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F5B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5B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5B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5B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5B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5B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5B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5BF8"/>
    <w:rPr>
      <w:rFonts w:eastAsiaTheme="majorEastAsia" w:cstheme="majorBidi"/>
      <w:color w:val="272727" w:themeColor="text1" w:themeTint="D8"/>
    </w:rPr>
  </w:style>
  <w:style w:type="paragraph" w:styleId="Title">
    <w:name w:val="Title"/>
    <w:basedOn w:val="Normal"/>
    <w:next w:val="Normal"/>
    <w:link w:val="TitleChar"/>
    <w:uiPriority w:val="10"/>
    <w:qFormat/>
    <w:rsid w:val="004F5B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5B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5B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5B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5BF8"/>
    <w:pPr>
      <w:spacing w:before="160"/>
      <w:jc w:val="center"/>
    </w:pPr>
    <w:rPr>
      <w:i/>
      <w:iCs/>
      <w:color w:val="404040" w:themeColor="text1" w:themeTint="BF"/>
    </w:rPr>
  </w:style>
  <w:style w:type="character" w:customStyle="1" w:styleId="QuoteChar">
    <w:name w:val="Quote Char"/>
    <w:basedOn w:val="DefaultParagraphFont"/>
    <w:link w:val="Quote"/>
    <w:uiPriority w:val="29"/>
    <w:rsid w:val="004F5BF8"/>
    <w:rPr>
      <w:i/>
      <w:iCs/>
      <w:color w:val="404040" w:themeColor="text1" w:themeTint="BF"/>
    </w:rPr>
  </w:style>
  <w:style w:type="paragraph" w:styleId="ListParagraph">
    <w:name w:val="List Paragraph"/>
    <w:aliases w:val="Thang2,Bullet 1,bullet 2,bullet 1,bullet,List Paragraph12,Heading 1.1,VNA - List Paragraph,1.,Table Sequence,1.1.1.1,Main numbered paragraph,Gach ngang,a.,Steps,L1,Ha,List Paragraph11,List Paragraph2,List Paragraph111,abc"/>
    <w:basedOn w:val="Normal"/>
    <w:link w:val="ListParagraphChar"/>
    <w:uiPriority w:val="34"/>
    <w:qFormat/>
    <w:rsid w:val="004F5BF8"/>
    <w:pPr>
      <w:ind w:left="720"/>
      <w:contextualSpacing/>
    </w:pPr>
  </w:style>
  <w:style w:type="character" w:styleId="IntenseEmphasis">
    <w:name w:val="Intense Emphasis"/>
    <w:basedOn w:val="DefaultParagraphFont"/>
    <w:uiPriority w:val="21"/>
    <w:qFormat/>
    <w:rsid w:val="004F5BF8"/>
    <w:rPr>
      <w:i/>
      <w:iCs/>
      <w:color w:val="0F4761" w:themeColor="accent1" w:themeShade="BF"/>
    </w:rPr>
  </w:style>
  <w:style w:type="paragraph" w:styleId="IntenseQuote">
    <w:name w:val="Intense Quote"/>
    <w:basedOn w:val="Normal"/>
    <w:next w:val="Normal"/>
    <w:link w:val="IntenseQuoteChar"/>
    <w:uiPriority w:val="30"/>
    <w:qFormat/>
    <w:rsid w:val="004F5B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5BF8"/>
    <w:rPr>
      <w:i/>
      <w:iCs/>
      <w:color w:val="0F4761" w:themeColor="accent1" w:themeShade="BF"/>
    </w:rPr>
  </w:style>
  <w:style w:type="character" w:styleId="IntenseReference">
    <w:name w:val="Intense Reference"/>
    <w:basedOn w:val="DefaultParagraphFont"/>
    <w:uiPriority w:val="32"/>
    <w:qFormat/>
    <w:rsid w:val="004F5BF8"/>
    <w:rPr>
      <w:b/>
      <w:bCs/>
      <w:smallCaps/>
      <w:color w:val="0F4761" w:themeColor="accent1" w:themeShade="BF"/>
      <w:spacing w:val="5"/>
    </w:rPr>
  </w:style>
  <w:style w:type="table" w:styleId="TableGrid">
    <w:name w:val="Table Grid"/>
    <w:basedOn w:val="TableNormal"/>
    <w:uiPriority w:val="59"/>
    <w:rsid w:val="004F5BF8"/>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E587B"/>
    <w:pPr>
      <w:tabs>
        <w:tab w:val="center" w:pos="4513"/>
        <w:tab w:val="right" w:pos="9026"/>
      </w:tabs>
    </w:pPr>
  </w:style>
  <w:style w:type="character" w:customStyle="1" w:styleId="HeaderChar">
    <w:name w:val="Header Char"/>
    <w:basedOn w:val="DefaultParagraphFont"/>
    <w:link w:val="Header"/>
    <w:uiPriority w:val="99"/>
    <w:rsid w:val="006E587B"/>
    <w:rPr>
      <w:rFonts w:ascii="Times New Roman" w:eastAsia="Times New Roman" w:hAnsi="Times New Roman" w:cs="Times New Roman"/>
      <w:kern w:val="0"/>
      <w:lang w:val="en-US"/>
      <w14:ligatures w14:val="none"/>
    </w:rPr>
  </w:style>
  <w:style w:type="paragraph" w:styleId="Footer">
    <w:name w:val="footer"/>
    <w:basedOn w:val="Normal"/>
    <w:link w:val="FooterChar"/>
    <w:uiPriority w:val="99"/>
    <w:unhideWhenUsed/>
    <w:rsid w:val="006E587B"/>
    <w:pPr>
      <w:tabs>
        <w:tab w:val="center" w:pos="4513"/>
        <w:tab w:val="right" w:pos="9026"/>
      </w:tabs>
    </w:pPr>
  </w:style>
  <w:style w:type="character" w:customStyle="1" w:styleId="FooterChar">
    <w:name w:val="Footer Char"/>
    <w:basedOn w:val="DefaultParagraphFont"/>
    <w:link w:val="Footer"/>
    <w:uiPriority w:val="99"/>
    <w:rsid w:val="006E587B"/>
    <w:rPr>
      <w:rFonts w:ascii="Times New Roman" w:eastAsia="Times New Roman" w:hAnsi="Times New Roman" w:cs="Times New Roman"/>
      <w:kern w:val="0"/>
      <w:lang w:val="en-US"/>
      <w14:ligatures w14:val="non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DF7C51"/>
    <w:rPr>
      <w:sz w:val="24"/>
      <w:szCs w:val="24"/>
    </w:rPr>
  </w:style>
  <w:style w:type="character" w:styleId="Hyperlink">
    <w:name w:val="Hyperlink"/>
    <w:basedOn w:val="DefaultParagraphFont"/>
    <w:uiPriority w:val="99"/>
    <w:unhideWhenUsed/>
    <w:rsid w:val="00590D97"/>
    <w:rPr>
      <w:color w:val="467886" w:themeColor="hyperlink"/>
      <w:u w:val="single"/>
    </w:rPr>
  </w:style>
  <w:style w:type="character" w:customStyle="1" w:styleId="UnresolvedMention1">
    <w:name w:val="Unresolved Mention1"/>
    <w:basedOn w:val="DefaultParagraphFont"/>
    <w:uiPriority w:val="99"/>
    <w:semiHidden/>
    <w:unhideWhenUsed/>
    <w:rsid w:val="00590D97"/>
    <w:rPr>
      <w:color w:val="605E5C"/>
      <w:shd w:val="clear" w:color="auto" w:fill="E1DFDD"/>
    </w:rPr>
  </w:style>
  <w:style w:type="paragraph" w:styleId="FootnoteText">
    <w:name w:val="footnote text"/>
    <w:basedOn w:val="Normal"/>
    <w:link w:val="FootnoteTextChar"/>
    <w:uiPriority w:val="99"/>
    <w:semiHidden/>
    <w:unhideWhenUsed/>
    <w:rsid w:val="00AB1E2D"/>
    <w:rPr>
      <w:sz w:val="20"/>
      <w:szCs w:val="20"/>
    </w:rPr>
  </w:style>
  <w:style w:type="character" w:customStyle="1" w:styleId="FootnoteTextChar">
    <w:name w:val="Footnote Text Char"/>
    <w:basedOn w:val="DefaultParagraphFont"/>
    <w:link w:val="FootnoteText"/>
    <w:uiPriority w:val="99"/>
    <w:semiHidden/>
    <w:rsid w:val="00AB1E2D"/>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AB1E2D"/>
    <w:rPr>
      <w:vertAlign w:val="superscript"/>
    </w:rPr>
  </w:style>
  <w:style w:type="paragraph" w:styleId="BlockText">
    <w:name w:val="Block Text"/>
    <w:basedOn w:val="Normal"/>
    <w:rsid w:val="00084E3B"/>
    <w:pPr>
      <w:widowControl/>
      <w:autoSpaceDE/>
      <w:autoSpaceDN/>
      <w:spacing w:after="120"/>
      <w:ind w:firstLine="720"/>
      <w:jc w:val="both"/>
    </w:pPr>
    <w:rPr>
      <w:rFonts w:ascii=".VnTime" w:hAnsi=".VnTime"/>
      <w:sz w:val="28"/>
      <w:szCs w:val="20"/>
    </w:rPr>
  </w:style>
  <w:style w:type="character" w:styleId="Strong">
    <w:name w:val="Strong"/>
    <w:basedOn w:val="DefaultParagraphFont"/>
    <w:uiPriority w:val="22"/>
    <w:qFormat/>
    <w:rsid w:val="00DF557A"/>
    <w:rPr>
      <w:b/>
      <w:bCs/>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167184"/>
    <w:rPr>
      <w:rFonts w:ascii="Times New Roman" w:eastAsia="Times New Roman" w:hAnsi="Times New Roman" w:cs="Times New Roman"/>
      <w:kern w:val="0"/>
      <w:sz w:val="24"/>
      <w:szCs w:val="24"/>
      <w:lang w:val="en-US"/>
      <w14:ligatures w14:val="none"/>
    </w:rPr>
  </w:style>
  <w:style w:type="character" w:customStyle="1" w:styleId="apple-converted-space">
    <w:name w:val="apple-converted-space"/>
    <w:basedOn w:val="DefaultParagraphFont"/>
    <w:rsid w:val="00167184"/>
  </w:style>
  <w:style w:type="paragraph" w:styleId="BodyText">
    <w:name w:val="Body Text"/>
    <w:basedOn w:val="Normal"/>
    <w:link w:val="BodyTextChar"/>
    <w:uiPriority w:val="1"/>
    <w:qFormat/>
    <w:rsid w:val="00BB10FE"/>
    <w:pPr>
      <w:widowControl/>
      <w:spacing w:after="120"/>
    </w:pPr>
    <w:rPr>
      <w:sz w:val="20"/>
      <w:szCs w:val="20"/>
    </w:rPr>
  </w:style>
  <w:style w:type="character" w:customStyle="1" w:styleId="BodyTextChar">
    <w:name w:val="Body Text Char"/>
    <w:basedOn w:val="DefaultParagraphFont"/>
    <w:link w:val="BodyText"/>
    <w:uiPriority w:val="1"/>
    <w:rsid w:val="00BB10FE"/>
    <w:rPr>
      <w:rFonts w:ascii="Times New Roman" w:eastAsia="Times New Roman" w:hAnsi="Times New Roman" w:cs="Times New Roman"/>
      <w:kern w:val="0"/>
      <w:sz w:val="20"/>
      <w:szCs w:val="20"/>
      <w:lang w:val="en-US"/>
      <w14:ligatures w14:val="none"/>
    </w:rPr>
  </w:style>
  <w:style w:type="character" w:customStyle="1" w:styleId="fontstyle01">
    <w:name w:val="fontstyle01"/>
    <w:basedOn w:val="DefaultParagraphFont"/>
    <w:rsid w:val="00F3409C"/>
    <w:rPr>
      <w:rFonts w:ascii="CIDFont+F2" w:hAnsi="CIDFont+F2" w:hint="default"/>
      <w:b w:val="0"/>
      <w:bCs w:val="0"/>
      <w:i w:val="0"/>
      <w:iCs w:val="0"/>
      <w:color w:val="FF0000"/>
      <w:sz w:val="24"/>
      <w:szCs w:val="24"/>
    </w:rPr>
  </w:style>
  <w:style w:type="character" w:customStyle="1" w:styleId="fontstyle21">
    <w:name w:val="fontstyle21"/>
    <w:rsid w:val="00F3409C"/>
    <w:rPr>
      <w:rFonts w:ascii="TimesNewRomanPSMT" w:hAnsi="TimesNewRomanPSMT" w:hint="default"/>
      <w:b w:val="0"/>
      <w:bCs w:val="0"/>
      <w:i w:val="0"/>
      <w:iCs w:val="0"/>
      <w:color w:val="000000"/>
      <w:sz w:val="26"/>
      <w:szCs w:val="26"/>
    </w:rPr>
  </w:style>
  <w:style w:type="paragraph" w:customStyle="1" w:styleId="TableParagraph">
    <w:name w:val="Table Paragraph"/>
    <w:basedOn w:val="Normal"/>
    <w:uiPriority w:val="1"/>
    <w:qFormat/>
    <w:rsid w:val="00F3409C"/>
    <w:pPr>
      <w:ind w:left="107"/>
    </w:pPr>
    <w:rPr>
      <w:lang w:val="vi"/>
    </w:rPr>
  </w:style>
  <w:style w:type="character" w:customStyle="1" w:styleId="ListParagraphChar">
    <w:name w:val="List Paragraph Char"/>
    <w:aliases w:val="Thang2 Char,Bullet 1 Char,bullet 2 Char,bullet 1 Char,bullet Char,List Paragraph12 Char,Heading 1.1 Char,VNA - List Paragraph Char,1. Char,Table Sequence Char,1.1.1.1 Char,Main numbered paragraph Char,Gach ngang Char,a. Char,L1 Char"/>
    <w:link w:val="ListParagraph"/>
    <w:uiPriority w:val="34"/>
    <w:qFormat/>
    <w:locked/>
    <w:rsid w:val="00A6004A"/>
    <w:rPr>
      <w:rFonts w:ascii="Times New Roman" w:eastAsia="Times New Roman" w:hAnsi="Times New Roman" w:cs="Times New Roman"/>
      <w:kern w:val="0"/>
      <w:lang w:val="en-US"/>
      <w14:ligatures w14:val="none"/>
    </w:rPr>
  </w:style>
  <w:style w:type="character" w:customStyle="1" w:styleId="UnresolvedMention">
    <w:name w:val="Unresolved Mention"/>
    <w:basedOn w:val="DefaultParagraphFont"/>
    <w:uiPriority w:val="99"/>
    <w:semiHidden/>
    <w:unhideWhenUsed/>
    <w:rsid w:val="001244B8"/>
    <w:rPr>
      <w:color w:val="605E5C"/>
      <w:shd w:val="clear" w:color="auto" w:fill="E1DFDD"/>
    </w:rPr>
  </w:style>
  <w:style w:type="paragraph" w:customStyle="1" w:styleId="Default">
    <w:name w:val="Default"/>
    <w:rsid w:val="005B301D"/>
    <w:pPr>
      <w:autoSpaceDE w:val="0"/>
      <w:autoSpaceDN w:val="0"/>
      <w:adjustRightInd w:val="0"/>
      <w:spacing w:after="0" w:line="240" w:lineRule="auto"/>
    </w:pPr>
    <w:rPr>
      <w:rFonts w:ascii="Times New Roman" w:hAnsi="Times New Roman" w:cs="Times New Roman"/>
      <w:color w:val="000000"/>
      <w:kern w:val="0"/>
      <w:sz w:val="24"/>
      <w:szCs w:val="24"/>
      <w:lang w:val="en-US"/>
    </w:rPr>
  </w:style>
  <w:style w:type="paragraph" w:styleId="BalloonText">
    <w:name w:val="Balloon Text"/>
    <w:basedOn w:val="Normal"/>
    <w:link w:val="BalloonTextChar"/>
    <w:uiPriority w:val="99"/>
    <w:semiHidden/>
    <w:unhideWhenUsed/>
    <w:rsid w:val="00F55491"/>
    <w:pPr>
      <w:widowControl/>
      <w:autoSpaceDE/>
      <w:autoSpaceDN/>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55491"/>
    <w:rPr>
      <w:rFonts w:ascii="Segoe UI"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8632">
      <w:bodyDiv w:val="1"/>
      <w:marLeft w:val="0"/>
      <w:marRight w:val="0"/>
      <w:marTop w:val="0"/>
      <w:marBottom w:val="0"/>
      <w:divBdr>
        <w:top w:val="none" w:sz="0" w:space="0" w:color="auto"/>
        <w:left w:val="none" w:sz="0" w:space="0" w:color="auto"/>
        <w:bottom w:val="none" w:sz="0" w:space="0" w:color="auto"/>
        <w:right w:val="none" w:sz="0" w:space="0" w:color="auto"/>
      </w:divBdr>
    </w:div>
    <w:div w:id="100300616">
      <w:bodyDiv w:val="1"/>
      <w:marLeft w:val="0"/>
      <w:marRight w:val="0"/>
      <w:marTop w:val="0"/>
      <w:marBottom w:val="0"/>
      <w:divBdr>
        <w:top w:val="none" w:sz="0" w:space="0" w:color="auto"/>
        <w:left w:val="none" w:sz="0" w:space="0" w:color="auto"/>
        <w:bottom w:val="none" w:sz="0" w:space="0" w:color="auto"/>
        <w:right w:val="none" w:sz="0" w:space="0" w:color="auto"/>
      </w:divBdr>
      <w:divsChild>
        <w:div w:id="1670983146">
          <w:marLeft w:val="0"/>
          <w:marRight w:val="0"/>
          <w:marTop w:val="0"/>
          <w:marBottom w:val="0"/>
          <w:divBdr>
            <w:top w:val="none" w:sz="0" w:space="0" w:color="auto"/>
            <w:left w:val="none" w:sz="0" w:space="0" w:color="auto"/>
            <w:bottom w:val="none" w:sz="0" w:space="0" w:color="auto"/>
            <w:right w:val="none" w:sz="0" w:space="0" w:color="auto"/>
          </w:divBdr>
        </w:div>
        <w:div w:id="1950969564">
          <w:marLeft w:val="0"/>
          <w:marRight w:val="0"/>
          <w:marTop w:val="0"/>
          <w:marBottom w:val="0"/>
          <w:divBdr>
            <w:top w:val="none" w:sz="0" w:space="0" w:color="auto"/>
            <w:left w:val="none" w:sz="0" w:space="0" w:color="auto"/>
            <w:bottom w:val="none" w:sz="0" w:space="0" w:color="auto"/>
            <w:right w:val="none" w:sz="0" w:space="0" w:color="auto"/>
          </w:divBdr>
        </w:div>
        <w:div w:id="272397752">
          <w:marLeft w:val="0"/>
          <w:marRight w:val="0"/>
          <w:marTop w:val="0"/>
          <w:marBottom w:val="0"/>
          <w:divBdr>
            <w:top w:val="none" w:sz="0" w:space="0" w:color="auto"/>
            <w:left w:val="none" w:sz="0" w:space="0" w:color="auto"/>
            <w:bottom w:val="none" w:sz="0" w:space="0" w:color="auto"/>
            <w:right w:val="none" w:sz="0" w:space="0" w:color="auto"/>
          </w:divBdr>
        </w:div>
        <w:div w:id="1371566065">
          <w:marLeft w:val="0"/>
          <w:marRight w:val="0"/>
          <w:marTop w:val="0"/>
          <w:marBottom w:val="0"/>
          <w:divBdr>
            <w:top w:val="none" w:sz="0" w:space="0" w:color="auto"/>
            <w:left w:val="none" w:sz="0" w:space="0" w:color="auto"/>
            <w:bottom w:val="none" w:sz="0" w:space="0" w:color="auto"/>
            <w:right w:val="none" w:sz="0" w:space="0" w:color="auto"/>
          </w:divBdr>
        </w:div>
        <w:div w:id="610476967">
          <w:marLeft w:val="0"/>
          <w:marRight w:val="0"/>
          <w:marTop w:val="0"/>
          <w:marBottom w:val="0"/>
          <w:divBdr>
            <w:top w:val="none" w:sz="0" w:space="0" w:color="auto"/>
            <w:left w:val="none" w:sz="0" w:space="0" w:color="auto"/>
            <w:bottom w:val="none" w:sz="0" w:space="0" w:color="auto"/>
            <w:right w:val="none" w:sz="0" w:space="0" w:color="auto"/>
          </w:divBdr>
        </w:div>
        <w:div w:id="1436822827">
          <w:marLeft w:val="0"/>
          <w:marRight w:val="0"/>
          <w:marTop w:val="0"/>
          <w:marBottom w:val="0"/>
          <w:divBdr>
            <w:top w:val="none" w:sz="0" w:space="0" w:color="auto"/>
            <w:left w:val="none" w:sz="0" w:space="0" w:color="auto"/>
            <w:bottom w:val="none" w:sz="0" w:space="0" w:color="auto"/>
            <w:right w:val="none" w:sz="0" w:space="0" w:color="auto"/>
          </w:divBdr>
        </w:div>
        <w:div w:id="1701320567">
          <w:marLeft w:val="0"/>
          <w:marRight w:val="0"/>
          <w:marTop w:val="0"/>
          <w:marBottom w:val="0"/>
          <w:divBdr>
            <w:top w:val="none" w:sz="0" w:space="0" w:color="auto"/>
            <w:left w:val="none" w:sz="0" w:space="0" w:color="auto"/>
            <w:bottom w:val="none" w:sz="0" w:space="0" w:color="auto"/>
            <w:right w:val="none" w:sz="0" w:space="0" w:color="auto"/>
          </w:divBdr>
        </w:div>
        <w:div w:id="1225992879">
          <w:marLeft w:val="0"/>
          <w:marRight w:val="0"/>
          <w:marTop w:val="0"/>
          <w:marBottom w:val="0"/>
          <w:divBdr>
            <w:top w:val="none" w:sz="0" w:space="0" w:color="auto"/>
            <w:left w:val="none" w:sz="0" w:space="0" w:color="auto"/>
            <w:bottom w:val="none" w:sz="0" w:space="0" w:color="auto"/>
            <w:right w:val="none" w:sz="0" w:space="0" w:color="auto"/>
          </w:divBdr>
        </w:div>
        <w:div w:id="178666068">
          <w:marLeft w:val="0"/>
          <w:marRight w:val="0"/>
          <w:marTop w:val="0"/>
          <w:marBottom w:val="0"/>
          <w:divBdr>
            <w:top w:val="none" w:sz="0" w:space="0" w:color="auto"/>
            <w:left w:val="none" w:sz="0" w:space="0" w:color="auto"/>
            <w:bottom w:val="none" w:sz="0" w:space="0" w:color="auto"/>
            <w:right w:val="none" w:sz="0" w:space="0" w:color="auto"/>
          </w:divBdr>
        </w:div>
        <w:div w:id="1188906082">
          <w:marLeft w:val="0"/>
          <w:marRight w:val="0"/>
          <w:marTop w:val="0"/>
          <w:marBottom w:val="0"/>
          <w:divBdr>
            <w:top w:val="none" w:sz="0" w:space="0" w:color="auto"/>
            <w:left w:val="none" w:sz="0" w:space="0" w:color="auto"/>
            <w:bottom w:val="none" w:sz="0" w:space="0" w:color="auto"/>
            <w:right w:val="none" w:sz="0" w:space="0" w:color="auto"/>
          </w:divBdr>
        </w:div>
      </w:divsChild>
    </w:div>
    <w:div w:id="256255022">
      <w:bodyDiv w:val="1"/>
      <w:marLeft w:val="0"/>
      <w:marRight w:val="0"/>
      <w:marTop w:val="0"/>
      <w:marBottom w:val="0"/>
      <w:divBdr>
        <w:top w:val="none" w:sz="0" w:space="0" w:color="auto"/>
        <w:left w:val="none" w:sz="0" w:space="0" w:color="auto"/>
        <w:bottom w:val="none" w:sz="0" w:space="0" w:color="auto"/>
        <w:right w:val="none" w:sz="0" w:space="0" w:color="auto"/>
      </w:divBdr>
      <w:divsChild>
        <w:div w:id="68769975">
          <w:marLeft w:val="0"/>
          <w:marRight w:val="0"/>
          <w:marTop w:val="0"/>
          <w:marBottom w:val="0"/>
          <w:divBdr>
            <w:top w:val="none" w:sz="0" w:space="0" w:color="auto"/>
            <w:left w:val="none" w:sz="0" w:space="0" w:color="auto"/>
            <w:bottom w:val="none" w:sz="0" w:space="0" w:color="auto"/>
            <w:right w:val="none" w:sz="0" w:space="0" w:color="auto"/>
          </w:divBdr>
        </w:div>
        <w:div w:id="2145267176">
          <w:marLeft w:val="0"/>
          <w:marRight w:val="0"/>
          <w:marTop w:val="0"/>
          <w:marBottom w:val="0"/>
          <w:divBdr>
            <w:top w:val="none" w:sz="0" w:space="0" w:color="auto"/>
            <w:left w:val="none" w:sz="0" w:space="0" w:color="auto"/>
            <w:bottom w:val="none" w:sz="0" w:space="0" w:color="auto"/>
            <w:right w:val="none" w:sz="0" w:space="0" w:color="auto"/>
          </w:divBdr>
        </w:div>
        <w:div w:id="1014770131">
          <w:marLeft w:val="0"/>
          <w:marRight w:val="0"/>
          <w:marTop w:val="0"/>
          <w:marBottom w:val="0"/>
          <w:divBdr>
            <w:top w:val="none" w:sz="0" w:space="0" w:color="auto"/>
            <w:left w:val="none" w:sz="0" w:space="0" w:color="auto"/>
            <w:bottom w:val="none" w:sz="0" w:space="0" w:color="auto"/>
            <w:right w:val="none" w:sz="0" w:space="0" w:color="auto"/>
          </w:divBdr>
        </w:div>
        <w:div w:id="722677003">
          <w:marLeft w:val="0"/>
          <w:marRight w:val="0"/>
          <w:marTop w:val="0"/>
          <w:marBottom w:val="0"/>
          <w:divBdr>
            <w:top w:val="none" w:sz="0" w:space="0" w:color="auto"/>
            <w:left w:val="none" w:sz="0" w:space="0" w:color="auto"/>
            <w:bottom w:val="none" w:sz="0" w:space="0" w:color="auto"/>
            <w:right w:val="none" w:sz="0" w:space="0" w:color="auto"/>
          </w:divBdr>
        </w:div>
        <w:div w:id="90707142">
          <w:marLeft w:val="0"/>
          <w:marRight w:val="0"/>
          <w:marTop w:val="0"/>
          <w:marBottom w:val="0"/>
          <w:divBdr>
            <w:top w:val="none" w:sz="0" w:space="0" w:color="auto"/>
            <w:left w:val="none" w:sz="0" w:space="0" w:color="auto"/>
            <w:bottom w:val="none" w:sz="0" w:space="0" w:color="auto"/>
            <w:right w:val="none" w:sz="0" w:space="0" w:color="auto"/>
          </w:divBdr>
        </w:div>
        <w:div w:id="132649381">
          <w:marLeft w:val="0"/>
          <w:marRight w:val="0"/>
          <w:marTop w:val="0"/>
          <w:marBottom w:val="0"/>
          <w:divBdr>
            <w:top w:val="none" w:sz="0" w:space="0" w:color="auto"/>
            <w:left w:val="none" w:sz="0" w:space="0" w:color="auto"/>
            <w:bottom w:val="none" w:sz="0" w:space="0" w:color="auto"/>
            <w:right w:val="none" w:sz="0" w:space="0" w:color="auto"/>
          </w:divBdr>
        </w:div>
        <w:div w:id="2827705">
          <w:marLeft w:val="0"/>
          <w:marRight w:val="0"/>
          <w:marTop w:val="0"/>
          <w:marBottom w:val="0"/>
          <w:divBdr>
            <w:top w:val="none" w:sz="0" w:space="0" w:color="auto"/>
            <w:left w:val="none" w:sz="0" w:space="0" w:color="auto"/>
            <w:bottom w:val="none" w:sz="0" w:space="0" w:color="auto"/>
            <w:right w:val="none" w:sz="0" w:space="0" w:color="auto"/>
          </w:divBdr>
        </w:div>
        <w:div w:id="1178423088">
          <w:marLeft w:val="0"/>
          <w:marRight w:val="0"/>
          <w:marTop w:val="0"/>
          <w:marBottom w:val="0"/>
          <w:divBdr>
            <w:top w:val="none" w:sz="0" w:space="0" w:color="auto"/>
            <w:left w:val="none" w:sz="0" w:space="0" w:color="auto"/>
            <w:bottom w:val="none" w:sz="0" w:space="0" w:color="auto"/>
            <w:right w:val="none" w:sz="0" w:space="0" w:color="auto"/>
          </w:divBdr>
        </w:div>
        <w:div w:id="97990435">
          <w:marLeft w:val="0"/>
          <w:marRight w:val="0"/>
          <w:marTop w:val="0"/>
          <w:marBottom w:val="0"/>
          <w:divBdr>
            <w:top w:val="none" w:sz="0" w:space="0" w:color="auto"/>
            <w:left w:val="none" w:sz="0" w:space="0" w:color="auto"/>
            <w:bottom w:val="none" w:sz="0" w:space="0" w:color="auto"/>
            <w:right w:val="none" w:sz="0" w:space="0" w:color="auto"/>
          </w:divBdr>
        </w:div>
        <w:div w:id="1609043328">
          <w:marLeft w:val="0"/>
          <w:marRight w:val="0"/>
          <w:marTop w:val="0"/>
          <w:marBottom w:val="0"/>
          <w:divBdr>
            <w:top w:val="none" w:sz="0" w:space="0" w:color="auto"/>
            <w:left w:val="none" w:sz="0" w:space="0" w:color="auto"/>
            <w:bottom w:val="none" w:sz="0" w:space="0" w:color="auto"/>
            <w:right w:val="none" w:sz="0" w:space="0" w:color="auto"/>
          </w:divBdr>
        </w:div>
        <w:div w:id="2114352620">
          <w:marLeft w:val="0"/>
          <w:marRight w:val="0"/>
          <w:marTop w:val="0"/>
          <w:marBottom w:val="0"/>
          <w:divBdr>
            <w:top w:val="none" w:sz="0" w:space="0" w:color="auto"/>
            <w:left w:val="none" w:sz="0" w:space="0" w:color="auto"/>
            <w:bottom w:val="none" w:sz="0" w:space="0" w:color="auto"/>
            <w:right w:val="none" w:sz="0" w:space="0" w:color="auto"/>
          </w:divBdr>
        </w:div>
        <w:div w:id="179390804">
          <w:marLeft w:val="0"/>
          <w:marRight w:val="0"/>
          <w:marTop w:val="0"/>
          <w:marBottom w:val="0"/>
          <w:divBdr>
            <w:top w:val="none" w:sz="0" w:space="0" w:color="auto"/>
            <w:left w:val="none" w:sz="0" w:space="0" w:color="auto"/>
            <w:bottom w:val="none" w:sz="0" w:space="0" w:color="auto"/>
            <w:right w:val="none" w:sz="0" w:space="0" w:color="auto"/>
          </w:divBdr>
        </w:div>
        <w:div w:id="1067650820">
          <w:marLeft w:val="0"/>
          <w:marRight w:val="0"/>
          <w:marTop w:val="0"/>
          <w:marBottom w:val="0"/>
          <w:divBdr>
            <w:top w:val="none" w:sz="0" w:space="0" w:color="auto"/>
            <w:left w:val="none" w:sz="0" w:space="0" w:color="auto"/>
            <w:bottom w:val="none" w:sz="0" w:space="0" w:color="auto"/>
            <w:right w:val="none" w:sz="0" w:space="0" w:color="auto"/>
          </w:divBdr>
        </w:div>
      </w:divsChild>
    </w:div>
    <w:div w:id="271131677">
      <w:bodyDiv w:val="1"/>
      <w:marLeft w:val="0"/>
      <w:marRight w:val="0"/>
      <w:marTop w:val="0"/>
      <w:marBottom w:val="0"/>
      <w:divBdr>
        <w:top w:val="none" w:sz="0" w:space="0" w:color="auto"/>
        <w:left w:val="none" w:sz="0" w:space="0" w:color="auto"/>
        <w:bottom w:val="none" w:sz="0" w:space="0" w:color="auto"/>
        <w:right w:val="none" w:sz="0" w:space="0" w:color="auto"/>
      </w:divBdr>
    </w:div>
    <w:div w:id="311714417">
      <w:bodyDiv w:val="1"/>
      <w:marLeft w:val="0"/>
      <w:marRight w:val="0"/>
      <w:marTop w:val="0"/>
      <w:marBottom w:val="0"/>
      <w:divBdr>
        <w:top w:val="none" w:sz="0" w:space="0" w:color="auto"/>
        <w:left w:val="none" w:sz="0" w:space="0" w:color="auto"/>
        <w:bottom w:val="none" w:sz="0" w:space="0" w:color="auto"/>
        <w:right w:val="none" w:sz="0" w:space="0" w:color="auto"/>
      </w:divBdr>
    </w:div>
    <w:div w:id="329866846">
      <w:bodyDiv w:val="1"/>
      <w:marLeft w:val="0"/>
      <w:marRight w:val="0"/>
      <w:marTop w:val="0"/>
      <w:marBottom w:val="0"/>
      <w:divBdr>
        <w:top w:val="none" w:sz="0" w:space="0" w:color="auto"/>
        <w:left w:val="none" w:sz="0" w:space="0" w:color="auto"/>
        <w:bottom w:val="none" w:sz="0" w:space="0" w:color="auto"/>
        <w:right w:val="none" w:sz="0" w:space="0" w:color="auto"/>
      </w:divBdr>
    </w:div>
    <w:div w:id="451628253">
      <w:bodyDiv w:val="1"/>
      <w:marLeft w:val="0"/>
      <w:marRight w:val="0"/>
      <w:marTop w:val="0"/>
      <w:marBottom w:val="0"/>
      <w:divBdr>
        <w:top w:val="none" w:sz="0" w:space="0" w:color="auto"/>
        <w:left w:val="none" w:sz="0" w:space="0" w:color="auto"/>
        <w:bottom w:val="none" w:sz="0" w:space="0" w:color="auto"/>
        <w:right w:val="none" w:sz="0" w:space="0" w:color="auto"/>
      </w:divBdr>
      <w:divsChild>
        <w:div w:id="766122778">
          <w:marLeft w:val="0"/>
          <w:marRight w:val="0"/>
          <w:marTop w:val="0"/>
          <w:marBottom w:val="0"/>
          <w:divBdr>
            <w:top w:val="none" w:sz="0" w:space="0" w:color="auto"/>
            <w:left w:val="none" w:sz="0" w:space="0" w:color="auto"/>
            <w:bottom w:val="none" w:sz="0" w:space="0" w:color="auto"/>
            <w:right w:val="none" w:sz="0" w:space="0" w:color="auto"/>
          </w:divBdr>
        </w:div>
        <w:div w:id="972098555">
          <w:marLeft w:val="0"/>
          <w:marRight w:val="0"/>
          <w:marTop w:val="0"/>
          <w:marBottom w:val="0"/>
          <w:divBdr>
            <w:top w:val="none" w:sz="0" w:space="0" w:color="auto"/>
            <w:left w:val="none" w:sz="0" w:space="0" w:color="auto"/>
            <w:bottom w:val="none" w:sz="0" w:space="0" w:color="auto"/>
            <w:right w:val="none" w:sz="0" w:space="0" w:color="auto"/>
          </w:divBdr>
        </w:div>
        <w:div w:id="629483811">
          <w:marLeft w:val="0"/>
          <w:marRight w:val="0"/>
          <w:marTop w:val="0"/>
          <w:marBottom w:val="0"/>
          <w:divBdr>
            <w:top w:val="none" w:sz="0" w:space="0" w:color="auto"/>
            <w:left w:val="none" w:sz="0" w:space="0" w:color="auto"/>
            <w:bottom w:val="none" w:sz="0" w:space="0" w:color="auto"/>
            <w:right w:val="none" w:sz="0" w:space="0" w:color="auto"/>
          </w:divBdr>
        </w:div>
        <w:div w:id="986979131">
          <w:marLeft w:val="0"/>
          <w:marRight w:val="0"/>
          <w:marTop w:val="0"/>
          <w:marBottom w:val="0"/>
          <w:divBdr>
            <w:top w:val="none" w:sz="0" w:space="0" w:color="auto"/>
            <w:left w:val="none" w:sz="0" w:space="0" w:color="auto"/>
            <w:bottom w:val="none" w:sz="0" w:space="0" w:color="auto"/>
            <w:right w:val="none" w:sz="0" w:space="0" w:color="auto"/>
          </w:divBdr>
        </w:div>
        <w:div w:id="657267885">
          <w:marLeft w:val="0"/>
          <w:marRight w:val="0"/>
          <w:marTop w:val="0"/>
          <w:marBottom w:val="0"/>
          <w:divBdr>
            <w:top w:val="none" w:sz="0" w:space="0" w:color="auto"/>
            <w:left w:val="none" w:sz="0" w:space="0" w:color="auto"/>
            <w:bottom w:val="none" w:sz="0" w:space="0" w:color="auto"/>
            <w:right w:val="none" w:sz="0" w:space="0" w:color="auto"/>
          </w:divBdr>
        </w:div>
        <w:div w:id="612707205">
          <w:marLeft w:val="0"/>
          <w:marRight w:val="0"/>
          <w:marTop w:val="0"/>
          <w:marBottom w:val="0"/>
          <w:divBdr>
            <w:top w:val="none" w:sz="0" w:space="0" w:color="auto"/>
            <w:left w:val="none" w:sz="0" w:space="0" w:color="auto"/>
            <w:bottom w:val="none" w:sz="0" w:space="0" w:color="auto"/>
            <w:right w:val="none" w:sz="0" w:space="0" w:color="auto"/>
          </w:divBdr>
        </w:div>
        <w:div w:id="335966277">
          <w:marLeft w:val="0"/>
          <w:marRight w:val="0"/>
          <w:marTop w:val="0"/>
          <w:marBottom w:val="0"/>
          <w:divBdr>
            <w:top w:val="none" w:sz="0" w:space="0" w:color="auto"/>
            <w:left w:val="none" w:sz="0" w:space="0" w:color="auto"/>
            <w:bottom w:val="none" w:sz="0" w:space="0" w:color="auto"/>
            <w:right w:val="none" w:sz="0" w:space="0" w:color="auto"/>
          </w:divBdr>
        </w:div>
        <w:div w:id="997152229">
          <w:marLeft w:val="0"/>
          <w:marRight w:val="0"/>
          <w:marTop w:val="0"/>
          <w:marBottom w:val="0"/>
          <w:divBdr>
            <w:top w:val="none" w:sz="0" w:space="0" w:color="auto"/>
            <w:left w:val="none" w:sz="0" w:space="0" w:color="auto"/>
            <w:bottom w:val="none" w:sz="0" w:space="0" w:color="auto"/>
            <w:right w:val="none" w:sz="0" w:space="0" w:color="auto"/>
          </w:divBdr>
        </w:div>
        <w:div w:id="1501500242">
          <w:marLeft w:val="0"/>
          <w:marRight w:val="0"/>
          <w:marTop w:val="0"/>
          <w:marBottom w:val="0"/>
          <w:divBdr>
            <w:top w:val="none" w:sz="0" w:space="0" w:color="auto"/>
            <w:left w:val="none" w:sz="0" w:space="0" w:color="auto"/>
            <w:bottom w:val="none" w:sz="0" w:space="0" w:color="auto"/>
            <w:right w:val="none" w:sz="0" w:space="0" w:color="auto"/>
          </w:divBdr>
        </w:div>
        <w:div w:id="1156415401">
          <w:marLeft w:val="0"/>
          <w:marRight w:val="0"/>
          <w:marTop w:val="0"/>
          <w:marBottom w:val="0"/>
          <w:divBdr>
            <w:top w:val="none" w:sz="0" w:space="0" w:color="auto"/>
            <w:left w:val="none" w:sz="0" w:space="0" w:color="auto"/>
            <w:bottom w:val="none" w:sz="0" w:space="0" w:color="auto"/>
            <w:right w:val="none" w:sz="0" w:space="0" w:color="auto"/>
          </w:divBdr>
        </w:div>
      </w:divsChild>
    </w:div>
    <w:div w:id="473065537">
      <w:bodyDiv w:val="1"/>
      <w:marLeft w:val="0"/>
      <w:marRight w:val="0"/>
      <w:marTop w:val="0"/>
      <w:marBottom w:val="0"/>
      <w:divBdr>
        <w:top w:val="none" w:sz="0" w:space="0" w:color="auto"/>
        <w:left w:val="none" w:sz="0" w:space="0" w:color="auto"/>
        <w:bottom w:val="none" w:sz="0" w:space="0" w:color="auto"/>
        <w:right w:val="none" w:sz="0" w:space="0" w:color="auto"/>
      </w:divBdr>
    </w:div>
    <w:div w:id="525630965">
      <w:bodyDiv w:val="1"/>
      <w:marLeft w:val="0"/>
      <w:marRight w:val="0"/>
      <w:marTop w:val="0"/>
      <w:marBottom w:val="0"/>
      <w:divBdr>
        <w:top w:val="none" w:sz="0" w:space="0" w:color="auto"/>
        <w:left w:val="none" w:sz="0" w:space="0" w:color="auto"/>
        <w:bottom w:val="none" w:sz="0" w:space="0" w:color="auto"/>
        <w:right w:val="none" w:sz="0" w:space="0" w:color="auto"/>
      </w:divBdr>
    </w:div>
    <w:div w:id="570119248">
      <w:bodyDiv w:val="1"/>
      <w:marLeft w:val="0"/>
      <w:marRight w:val="0"/>
      <w:marTop w:val="0"/>
      <w:marBottom w:val="0"/>
      <w:divBdr>
        <w:top w:val="none" w:sz="0" w:space="0" w:color="auto"/>
        <w:left w:val="none" w:sz="0" w:space="0" w:color="auto"/>
        <w:bottom w:val="none" w:sz="0" w:space="0" w:color="auto"/>
        <w:right w:val="none" w:sz="0" w:space="0" w:color="auto"/>
      </w:divBdr>
    </w:div>
    <w:div w:id="614142706">
      <w:bodyDiv w:val="1"/>
      <w:marLeft w:val="0"/>
      <w:marRight w:val="0"/>
      <w:marTop w:val="0"/>
      <w:marBottom w:val="0"/>
      <w:divBdr>
        <w:top w:val="none" w:sz="0" w:space="0" w:color="auto"/>
        <w:left w:val="none" w:sz="0" w:space="0" w:color="auto"/>
        <w:bottom w:val="none" w:sz="0" w:space="0" w:color="auto"/>
        <w:right w:val="none" w:sz="0" w:space="0" w:color="auto"/>
      </w:divBdr>
    </w:div>
    <w:div w:id="622275528">
      <w:bodyDiv w:val="1"/>
      <w:marLeft w:val="0"/>
      <w:marRight w:val="0"/>
      <w:marTop w:val="0"/>
      <w:marBottom w:val="0"/>
      <w:divBdr>
        <w:top w:val="none" w:sz="0" w:space="0" w:color="auto"/>
        <w:left w:val="none" w:sz="0" w:space="0" w:color="auto"/>
        <w:bottom w:val="none" w:sz="0" w:space="0" w:color="auto"/>
        <w:right w:val="none" w:sz="0" w:space="0" w:color="auto"/>
      </w:divBdr>
    </w:div>
    <w:div w:id="629942732">
      <w:bodyDiv w:val="1"/>
      <w:marLeft w:val="0"/>
      <w:marRight w:val="0"/>
      <w:marTop w:val="0"/>
      <w:marBottom w:val="0"/>
      <w:divBdr>
        <w:top w:val="none" w:sz="0" w:space="0" w:color="auto"/>
        <w:left w:val="none" w:sz="0" w:space="0" w:color="auto"/>
        <w:bottom w:val="none" w:sz="0" w:space="0" w:color="auto"/>
        <w:right w:val="none" w:sz="0" w:space="0" w:color="auto"/>
      </w:divBdr>
    </w:div>
    <w:div w:id="647631417">
      <w:bodyDiv w:val="1"/>
      <w:marLeft w:val="0"/>
      <w:marRight w:val="0"/>
      <w:marTop w:val="0"/>
      <w:marBottom w:val="0"/>
      <w:divBdr>
        <w:top w:val="none" w:sz="0" w:space="0" w:color="auto"/>
        <w:left w:val="none" w:sz="0" w:space="0" w:color="auto"/>
        <w:bottom w:val="none" w:sz="0" w:space="0" w:color="auto"/>
        <w:right w:val="none" w:sz="0" w:space="0" w:color="auto"/>
      </w:divBdr>
    </w:div>
    <w:div w:id="695546753">
      <w:bodyDiv w:val="1"/>
      <w:marLeft w:val="0"/>
      <w:marRight w:val="0"/>
      <w:marTop w:val="0"/>
      <w:marBottom w:val="0"/>
      <w:divBdr>
        <w:top w:val="none" w:sz="0" w:space="0" w:color="auto"/>
        <w:left w:val="none" w:sz="0" w:space="0" w:color="auto"/>
        <w:bottom w:val="none" w:sz="0" w:space="0" w:color="auto"/>
        <w:right w:val="none" w:sz="0" w:space="0" w:color="auto"/>
      </w:divBdr>
    </w:div>
    <w:div w:id="711806817">
      <w:bodyDiv w:val="1"/>
      <w:marLeft w:val="0"/>
      <w:marRight w:val="0"/>
      <w:marTop w:val="0"/>
      <w:marBottom w:val="0"/>
      <w:divBdr>
        <w:top w:val="none" w:sz="0" w:space="0" w:color="auto"/>
        <w:left w:val="none" w:sz="0" w:space="0" w:color="auto"/>
        <w:bottom w:val="none" w:sz="0" w:space="0" w:color="auto"/>
        <w:right w:val="none" w:sz="0" w:space="0" w:color="auto"/>
      </w:divBdr>
    </w:div>
    <w:div w:id="746071642">
      <w:bodyDiv w:val="1"/>
      <w:marLeft w:val="0"/>
      <w:marRight w:val="0"/>
      <w:marTop w:val="0"/>
      <w:marBottom w:val="0"/>
      <w:divBdr>
        <w:top w:val="none" w:sz="0" w:space="0" w:color="auto"/>
        <w:left w:val="none" w:sz="0" w:space="0" w:color="auto"/>
        <w:bottom w:val="none" w:sz="0" w:space="0" w:color="auto"/>
        <w:right w:val="none" w:sz="0" w:space="0" w:color="auto"/>
      </w:divBdr>
    </w:div>
    <w:div w:id="800876850">
      <w:bodyDiv w:val="1"/>
      <w:marLeft w:val="0"/>
      <w:marRight w:val="0"/>
      <w:marTop w:val="0"/>
      <w:marBottom w:val="0"/>
      <w:divBdr>
        <w:top w:val="none" w:sz="0" w:space="0" w:color="auto"/>
        <w:left w:val="none" w:sz="0" w:space="0" w:color="auto"/>
        <w:bottom w:val="none" w:sz="0" w:space="0" w:color="auto"/>
        <w:right w:val="none" w:sz="0" w:space="0" w:color="auto"/>
      </w:divBdr>
    </w:div>
    <w:div w:id="840778197">
      <w:bodyDiv w:val="1"/>
      <w:marLeft w:val="0"/>
      <w:marRight w:val="0"/>
      <w:marTop w:val="0"/>
      <w:marBottom w:val="0"/>
      <w:divBdr>
        <w:top w:val="none" w:sz="0" w:space="0" w:color="auto"/>
        <w:left w:val="none" w:sz="0" w:space="0" w:color="auto"/>
        <w:bottom w:val="none" w:sz="0" w:space="0" w:color="auto"/>
        <w:right w:val="none" w:sz="0" w:space="0" w:color="auto"/>
      </w:divBdr>
    </w:div>
    <w:div w:id="856887590">
      <w:bodyDiv w:val="1"/>
      <w:marLeft w:val="0"/>
      <w:marRight w:val="0"/>
      <w:marTop w:val="0"/>
      <w:marBottom w:val="0"/>
      <w:divBdr>
        <w:top w:val="none" w:sz="0" w:space="0" w:color="auto"/>
        <w:left w:val="none" w:sz="0" w:space="0" w:color="auto"/>
        <w:bottom w:val="none" w:sz="0" w:space="0" w:color="auto"/>
        <w:right w:val="none" w:sz="0" w:space="0" w:color="auto"/>
      </w:divBdr>
      <w:divsChild>
        <w:div w:id="113783923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86173991">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861822163">
      <w:bodyDiv w:val="1"/>
      <w:marLeft w:val="0"/>
      <w:marRight w:val="0"/>
      <w:marTop w:val="0"/>
      <w:marBottom w:val="0"/>
      <w:divBdr>
        <w:top w:val="none" w:sz="0" w:space="0" w:color="auto"/>
        <w:left w:val="none" w:sz="0" w:space="0" w:color="auto"/>
        <w:bottom w:val="none" w:sz="0" w:space="0" w:color="auto"/>
        <w:right w:val="none" w:sz="0" w:space="0" w:color="auto"/>
      </w:divBdr>
    </w:div>
    <w:div w:id="867647837">
      <w:bodyDiv w:val="1"/>
      <w:marLeft w:val="0"/>
      <w:marRight w:val="0"/>
      <w:marTop w:val="0"/>
      <w:marBottom w:val="0"/>
      <w:divBdr>
        <w:top w:val="none" w:sz="0" w:space="0" w:color="auto"/>
        <w:left w:val="none" w:sz="0" w:space="0" w:color="auto"/>
        <w:bottom w:val="none" w:sz="0" w:space="0" w:color="auto"/>
        <w:right w:val="none" w:sz="0" w:space="0" w:color="auto"/>
      </w:divBdr>
    </w:div>
    <w:div w:id="888300957">
      <w:bodyDiv w:val="1"/>
      <w:marLeft w:val="0"/>
      <w:marRight w:val="0"/>
      <w:marTop w:val="0"/>
      <w:marBottom w:val="0"/>
      <w:divBdr>
        <w:top w:val="none" w:sz="0" w:space="0" w:color="auto"/>
        <w:left w:val="none" w:sz="0" w:space="0" w:color="auto"/>
        <w:bottom w:val="none" w:sz="0" w:space="0" w:color="auto"/>
        <w:right w:val="none" w:sz="0" w:space="0" w:color="auto"/>
      </w:divBdr>
    </w:div>
    <w:div w:id="923536138">
      <w:bodyDiv w:val="1"/>
      <w:marLeft w:val="0"/>
      <w:marRight w:val="0"/>
      <w:marTop w:val="0"/>
      <w:marBottom w:val="0"/>
      <w:divBdr>
        <w:top w:val="none" w:sz="0" w:space="0" w:color="auto"/>
        <w:left w:val="none" w:sz="0" w:space="0" w:color="auto"/>
        <w:bottom w:val="none" w:sz="0" w:space="0" w:color="auto"/>
        <w:right w:val="none" w:sz="0" w:space="0" w:color="auto"/>
      </w:divBdr>
      <w:divsChild>
        <w:div w:id="488905058">
          <w:marLeft w:val="0"/>
          <w:marRight w:val="0"/>
          <w:marTop w:val="0"/>
          <w:marBottom w:val="0"/>
          <w:divBdr>
            <w:top w:val="none" w:sz="0" w:space="0" w:color="auto"/>
            <w:left w:val="none" w:sz="0" w:space="0" w:color="auto"/>
            <w:bottom w:val="none" w:sz="0" w:space="0" w:color="auto"/>
            <w:right w:val="none" w:sz="0" w:space="0" w:color="auto"/>
          </w:divBdr>
        </w:div>
        <w:div w:id="1724988208">
          <w:marLeft w:val="0"/>
          <w:marRight w:val="0"/>
          <w:marTop w:val="0"/>
          <w:marBottom w:val="0"/>
          <w:divBdr>
            <w:top w:val="none" w:sz="0" w:space="0" w:color="auto"/>
            <w:left w:val="none" w:sz="0" w:space="0" w:color="auto"/>
            <w:bottom w:val="none" w:sz="0" w:space="0" w:color="auto"/>
            <w:right w:val="none" w:sz="0" w:space="0" w:color="auto"/>
          </w:divBdr>
        </w:div>
        <w:div w:id="1077485278">
          <w:marLeft w:val="0"/>
          <w:marRight w:val="0"/>
          <w:marTop w:val="0"/>
          <w:marBottom w:val="0"/>
          <w:divBdr>
            <w:top w:val="none" w:sz="0" w:space="0" w:color="auto"/>
            <w:left w:val="none" w:sz="0" w:space="0" w:color="auto"/>
            <w:bottom w:val="none" w:sz="0" w:space="0" w:color="auto"/>
            <w:right w:val="none" w:sz="0" w:space="0" w:color="auto"/>
          </w:divBdr>
        </w:div>
        <w:div w:id="1016269349">
          <w:marLeft w:val="0"/>
          <w:marRight w:val="0"/>
          <w:marTop w:val="0"/>
          <w:marBottom w:val="0"/>
          <w:divBdr>
            <w:top w:val="none" w:sz="0" w:space="0" w:color="auto"/>
            <w:left w:val="none" w:sz="0" w:space="0" w:color="auto"/>
            <w:bottom w:val="none" w:sz="0" w:space="0" w:color="auto"/>
            <w:right w:val="none" w:sz="0" w:space="0" w:color="auto"/>
          </w:divBdr>
        </w:div>
        <w:div w:id="1001932633">
          <w:marLeft w:val="0"/>
          <w:marRight w:val="0"/>
          <w:marTop w:val="0"/>
          <w:marBottom w:val="0"/>
          <w:divBdr>
            <w:top w:val="none" w:sz="0" w:space="0" w:color="auto"/>
            <w:left w:val="none" w:sz="0" w:space="0" w:color="auto"/>
            <w:bottom w:val="none" w:sz="0" w:space="0" w:color="auto"/>
            <w:right w:val="none" w:sz="0" w:space="0" w:color="auto"/>
          </w:divBdr>
        </w:div>
        <w:div w:id="905263808">
          <w:marLeft w:val="0"/>
          <w:marRight w:val="0"/>
          <w:marTop w:val="0"/>
          <w:marBottom w:val="0"/>
          <w:divBdr>
            <w:top w:val="none" w:sz="0" w:space="0" w:color="auto"/>
            <w:left w:val="none" w:sz="0" w:space="0" w:color="auto"/>
            <w:bottom w:val="none" w:sz="0" w:space="0" w:color="auto"/>
            <w:right w:val="none" w:sz="0" w:space="0" w:color="auto"/>
          </w:divBdr>
        </w:div>
        <w:div w:id="1902979133">
          <w:marLeft w:val="0"/>
          <w:marRight w:val="0"/>
          <w:marTop w:val="0"/>
          <w:marBottom w:val="0"/>
          <w:divBdr>
            <w:top w:val="none" w:sz="0" w:space="0" w:color="auto"/>
            <w:left w:val="none" w:sz="0" w:space="0" w:color="auto"/>
            <w:bottom w:val="none" w:sz="0" w:space="0" w:color="auto"/>
            <w:right w:val="none" w:sz="0" w:space="0" w:color="auto"/>
          </w:divBdr>
        </w:div>
        <w:div w:id="1112360851">
          <w:marLeft w:val="0"/>
          <w:marRight w:val="0"/>
          <w:marTop w:val="0"/>
          <w:marBottom w:val="0"/>
          <w:divBdr>
            <w:top w:val="none" w:sz="0" w:space="0" w:color="auto"/>
            <w:left w:val="none" w:sz="0" w:space="0" w:color="auto"/>
            <w:bottom w:val="none" w:sz="0" w:space="0" w:color="auto"/>
            <w:right w:val="none" w:sz="0" w:space="0" w:color="auto"/>
          </w:divBdr>
        </w:div>
        <w:div w:id="1588230149">
          <w:marLeft w:val="0"/>
          <w:marRight w:val="0"/>
          <w:marTop w:val="0"/>
          <w:marBottom w:val="0"/>
          <w:divBdr>
            <w:top w:val="none" w:sz="0" w:space="0" w:color="auto"/>
            <w:left w:val="none" w:sz="0" w:space="0" w:color="auto"/>
            <w:bottom w:val="none" w:sz="0" w:space="0" w:color="auto"/>
            <w:right w:val="none" w:sz="0" w:space="0" w:color="auto"/>
          </w:divBdr>
        </w:div>
        <w:div w:id="86771363">
          <w:marLeft w:val="0"/>
          <w:marRight w:val="0"/>
          <w:marTop w:val="0"/>
          <w:marBottom w:val="0"/>
          <w:divBdr>
            <w:top w:val="none" w:sz="0" w:space="0" w:color="auto"/>
            <w:left w:val="none" w:sz="0" w:space="0" w:color="auto"/>
            <w:bottom w:val="none" w:sz="0" w:space="0" w:color="auto"/>
            <w:right w:val="none" w:sz="0" w:space="0" w:color="auto"/>
          </w:divBdr>
        </w:div>
        <w:div w:id="416248359">
          <w:marLeft w:val="0"/>
          <w:marRight w:val="0"/>
          <w:marTop w:val="0"/>
          <w:marBottom w:val="0"/>
          <w:divBdr>
            <w:top w:val="none" w:sz="0" w:space="0" w:color="auto"/>
            <w:left w:val="none" w:sz="0" w:space="0" w:color="auto"/>
            <w:bottom w:val="none" w:sz="0" w:space="0" w:color="auto"/>
            <w:right w:val="none" w:sz="0" w:space="0" w:color="auto"/>
          </w:divBdr>
        </w:div>
        <w:div w:id="1598100261">
          <w:marLeft w:val="0"/>
          <w:marRight w:val="0"/>
          <w:marTop w:val="0"/>
          <w:marBottom w:val="0"/>
          <w:divBdr>
            <w:top w:val="none" w:sz="0" w:space="0" w:color="auto"/>
            <w:left w:val="none" w:sz="0" w:space="0" w:color="auto"/>
            <w:bottom w:val="none" w:sz="0" w:space="0" w:color="auto"/>
            <w:right w:val="none" w:sz="0" w:space="0" w:color="auto"/>
          </w:divBdr>
        </w:div>
        <w:div w:id="2051225425">
          <w:marLeft w:val="0"/>
          <w:marRight w:val="0"/>
          <w:marTop w:val="0"/>
          <w:marBottom w:val="0"/>
          <w:divBdr>
            <w:top w:val="none" w:sz="0" w:space="0" w:color="auto"/>
            <w:left w:val="none" w:sz="0" w:space="0" w:color="auto"/>
            <w:bottom w:val="none" w:sz="0" w:space="0" w:color="auto"/>
            <w:right w:val="none" w:sz="0" w:space="0" w:color="auto"/>
          </w:divBdr>
        </w:div>
      </w:divsChild>
    </w:div>
    <w:div w:id="976568447">
      <w:bodyDiv w:val="1"/>
      <w:marLeft w:val="0"/>
      <w:marRight w:val="0"/>
      <w:marTop w:val="0"/>
      <w:marBottom w:val="0"/>
      <w:divBdr>
        <w:top w:val="none" w:sz="0" w:space="0" w:color="auto"/>
        <w:left w:val="none" w:sz="0" w:space="0" w:color="auto"/>
        <w:bottom w:val="none" w:sz="0" w:space="0" w:color="auto"/>
        <w:right w:val="none" w:sz="0" w:space="0" w:color="auto"/>
      </w:divBdr>
    </w:div>
    <w:div w:id="1042753036">
      <w:bodyDiv w:val="1"/>
      <w:marLeft w:val="0"/>
      <w:marRight w:val="0"/>
      <w:marTop w:val="0"/>
      <w:marBottom w:val="0"/>
      <w:divBdr>
        <w:top w:val="none" w:sz="0" w:space="0" w:color="auto"/>
        <w:left w:val="none" w:sz="0" w:space="0" w:color="auto"/>
        <w:bottom w:val="none" w:sz="0" w:space="0" w:color="auto"/>
        <w:right w:val="none" w:sz="0" w:space="0" w:color="auto"/>
      </w:divBdr>
    </w:div>
    <w:div w:id="1044597557">
      <w:bodyDiv w:val="1"/>
      <w:marLeft w:val="0"/>
      <w:marRight w:val="0"/>
      <w:marTop w:val="0"/>
      <w:marBottom w:val="0"/>
      <w:divBdr>
        <w:top w:val="none" w:sz="0" w:space="0" w:color="auto"/>
        <w:left w:val="none" w:sz="0" w:space="0" w:color="auto"/>
        <w:bottom w:val="none" w:sz="0" w:space="0" w:color="auto"/>
        <w:right w:val="none" w:sz="0" w:space="0" w:color="auto"/>
      </w:divBdr>
    </w:div>
    <w:div w:id="1179199855">
      <w:bodyDiv w:val="1"/>
      <w:marLeft w:val="0"/>
      <w:marRight w:val="0"/>
      <w:marTop w:val="0"/>
      <w:marBottom w:val="0"/>
      <w:divBdr>
        <w:top w:val="none" w:sz="0" w:space="0" w:color="auto"/>
        <w:left w:val="none" w:sz="0" w:space="0" w:color="auto"/>
        <w:bottom w:val="none" w:sz="0" w:space="0" w:color="auto"/>
        <w:right w:val="none" w:sz="0" w:space="0" w:color="auto"/>
      </w:divBdr>
    </w:div>
    <w:div w:id="1215000369">
      <w:bodyDiv w:val="1"/>
      <w:marLeft w:val="0"/>
      <w:marRight w:val="0"/>
      <w:marTop w:val="0"/>
      <w:marBottom w:val="0"/>
      <w:divBdr>
        <w:top w:val="none" w:sz="0" w:space="0" w:color="auto"/>
        <w:left w:val="none" w:sz="0" w:space="0" w:color="auto"/>
        <w:bottom w:val="none" w:sz="0" w:space="0" w:color="auto"/>
        <w:right w:val="none" w:sz="0" w:space="0" w:color="auto"/>
      </w:divBdr>
    </w:div>
    <w:div w:id="1224680578">
      <w:bodyDiv w:val="1"/>
      <w:marLeft w:val="0"/>
      <w:marRight w:val="0"/>
      <w:marTop w:val="0"/>
      <w:marBottom w:val="0"/>
      <w:divBdr>
        <w:top w:val="none" w:sz="0" w:space="0" w:color="auto"/>
        <w:left w:val="none" w:sz="0" w:space="0" w:color="auto"/>
        <w:bottom w:val="none" w:sz="0" w:space="0" w:color="auto"/>
        <w:right w:val="none" w:sz="0" w:space="0" w:color="auto"/>
      </w:divBdr>
    </w:div>
    <w:div w:id="1245647321">
      <w:bodyDiv w:val="1"/>
      <w:marLeft w:val="0"/>
      <w:marRight w:val="0"/>
      <w:marTop w:val="0"/>
      <w:marBottom w:val="0"/>
      <w:divBdr>
        <w:top w:val="none" w:sz="0" w:space="0" w:color="auto"/>
        <w:left w:val="none" w:sz="0" w:space="0" w:color="auto"/>
        <w:bottom w:val="none" w:sz="0" w:space="0" w:color="auto"/>
        <w:right w:val="none" w:sz="0" w:space="0" w:color="auto"/>
      </w:divBdr>
    </w:div>
    <w:div w:id="1260336545">
      <w:bodyDiv w:val="1"/>
      <w:marLeft w:val="0"/>
      <w:marRight w:val="0"/>
      <w:marTop w:val="0"/>
      <w:marBottom w:val="0"/>
      <w:divBdr>
        <w:top w:val="none" w:sz="0" w:space="0" w:color="auto"/>
        <w:left w:val="none" w:sz="0" w:space="0" w:color="auto"/>
        <w:bottom w:val="none" w:sz="0" w:space="0" w:color="auto"/>
        <w:right w:val="none" w:sz="0" w:space="0" w:color="auto"/>
      </w:divBdr>
    </w:div>
    <w:div w:id="1359043946">
      <w:bodyDiv w:val="1"/>
      <w:marLeft w:val="0"/>
      <w:marRight w:val="0"/>
      <w:marTop w:val="0"/>
      <w:marBottom w:val="0"/>
      <w:divBdr>
        <w:top w:val="none" w:sz="0" w:space="0" w:color="auto"/>
        <w:left w:val="none" w:sz="0" w:space="0" w:color="auto"/>
        <w:bottom w:val="none" w:sz="0" w:space="0" w:color="auto"/>
        <w:right w:val="none" w:sz="0" w:space="0" w:color="auto"/>
      </w:divBdr>
    </w:div>
    <w:div w:id="1391616915">
      <w:bodyDiv w:val="1"/>
      <w:marLeft w:val="0"/>
      <w:marRight w:val="0"/>
      <w:marTop w:val="0"/>
      <w:marBottom w:val="0"/>
      <w:divBdr>
        <w:top w:val="none" w:sz="0" w:space="0" w:color="auto"/>
        <w:left w:val="none" w:sz="0" w:space="0" w:color="auto"/>
        <w:bottom w:val="none" w:sz="0" w:space="0" w:color="auto"/>
        <w:right w:val="none" w:sz="0" w:space="0" w:color="auto"/>
      </w:divBdr>
    </w:div>
    <w:div w:id="1408919982">
      <w:bodyDiv w:val="1"/>
      <w:marLeft w:val="0"/>
      <w:marRight w:val="0"/>
      <w:marTop w:val="0"/>
      <w:marBottom w:val="0"/>
      <w:divBdr>
        <w:top w:val="none" w:sz="0" w:space="0" w:color="auto"/>
        <w:left w:val="none" w:sz="0" w:space="0" w:color="auto"/>
        <w:bottom w:val="none" w:sz="0" w:space="0" w:color="auto"/>
        <w:right w:val="none" w:sz="0" w:space="0" w:color="auto"/>
      </w:divBdr>
    </w:div>
    <w:div w:id="1415588449">
      <w:bodyDiv w:val="1"/>
      <w:marLeft w:val="0"/>
      <w:marRight w:val="0"/>
      <w:marTop w:val="0"/>
      <w:marBottom w:val="0"/>
      <w:divBdr>
        <w:top w:val="none" w:sz="0" w:space="0" w:color="auto"/>
        <w:left w:val="none" w:sz="0" w:space="0" w:color="auto"/>
        <w:bottom w:val="none" w:sz="0" w:space="0" w:color="auto"/>
        <w:right w:val="none" w:sz="0" w:space="0" w:color="auto"/>
      </w:divBdr>
    </w:div>
    <w:div w:id="1477407261">
      <w:bodyDiv w:val="1"/>
      <w:marLeft w:val="0"/>
      <w:marRight w:val="0"/>
      <w:marTop w:val="0"/>
      <w:marBottom w:val="0"/>
      <w:divBdr>
        <w:top w:val="none" w:sz="0" w:space="0" w:color="auto"/>
        <w:left w:val="none" w:sz="0" w:space="0" w:color="auto"/>
        <w:bottom w:val="none" w:sz="0" w:space="0" w:color="auto"/>
        <w:right w:val="none" w:sz="0" w:space="0" w:color="auto"/>
      </w:divBdr>
    </w:div>
    <w:div w:id="1478456979">
      <w:bodyDiv w:val="1"/>
      <w:marLeft w:val="0"/>
      <w:marRight w:val="0"/>
      <w:marTop w:val="0"/>
      <w:marBottom w:val="0"/>
      <w:divBdr>
        <w:top w:val="none" w:sz="0" w:space="0" w:color="auto"/>
        <w:left w:val="none" w:sz="0" w:space="0" w:color="auto"/>
        <w:bottom w:val="none" w:sz="0" w:space="0" w:color="auto"/>
        <w:right w:val="none" w:sz="0" w:space="0" w:color="auto"/>
      </w:divBdr>
    </w:div>
    <w:div w:id="1500466048">
      <w:bodyDiv w:val="1"/>
      <w:marLeft w:val="0"/>
      <w:marRight w:val="0"/>
      <w:marTop w:val="0"/>
      <w:marBottom w:val="0"/>
      <w:divBdr>
        <w:top w:val="none" w:sz="0" w:space="0" w:color="auto"/>
        <w:left w:val="none" w:sz="0" w:space="0" w:color="auto"/>
        <w:bottom w:val="none" w:sz="0" w:space="0" w:color="auto"/>
        <w:right w:val="none" w:sz="0" w:space="0" w:color="auto"/>
      </w:divBdr>
    </w:div>
    <w:div w:id="1501774286">
      <w:bodyDiv w:val="1"/>
      <w:marLeft w:val="0"/>
      <w:marRight w:val="0"/>
      <w:marTop w:val="0"/>
      <w:marBottom w:val="0"/>
      <w:divBdr>
        <w:top w:val="none" w:sz="0" w:space="0" w:color="auto"/>
        <w:left w:val="none" w:sz="0" w:space="0" w:color="auto"/>
        <w:bottom w:val="none" w:sz="0" w:space="0" w:color="auto"/>
        <w:right w:val="none" w:sz="0" w:space="0" w:color="auto"/>
      </w:divBdr>
    </w:div>
    <w:div w:id="1523587592">
      <w:bodyDiv w:val="1"/>
      <w:marLeft w:val="0"/>
      <w:marRight w:val="0"/>
      <w:marTop w:val="0"/>
      <w:marBottom w:val="0"/>
      <w:divBdr>
        <w:top w:val="none" w:sz="0" w:space="0" w:color="auto"/>
        <w:left w:val="none" w:sz="0" w:space="0" w:color="auto"/>
        <w:bottom w:val="none" w:sz="0" w:space="0" w:color="auto"/>
        <w:right w:val="none" w:sz="0" w:space="0" w:color="auto"/>
      </w:divBdr>
    </w:div>
    <w:div w:id="1575043339">
      <w:bodyDiv w:val="1"/>
      <w:marLeft w:val="0"/>
      <w:marRight w:val="0"/>
      <w:marTop w:val="0"/>
      <w:marBottom w:val="0"/>
      <w:divBdr>
        <w:top w:val="none" w:sz="0" w:space="0" w:color="auto"/>
        <w:left w:val="none" w:sz="0" w:space="0" w:color="auto"/>
        <w:bottom w:val="none" w:sz="0" w:space="0" w:color="auto"/>
        <w:right w:val="none" w:sz="0" w:space="0" w:color="auto"/>
      </w:divBdr>
    </w:div>
    <w:div w:id="1585190254">
      <w:bodyDiv w:val="1"/>
      <w:marLeft w:val="0"/>
      <w:marRight w:val="0"/>
      <w:marTop w:val="0"/>
      <w:marBottom w:val="0"/>
      <w:divBdr>
        <w:top w:val="none" w:sz="0" w:space="0" w:color="auto"/>
        <w:left w:val="none" w:sz="0" w:space="0" w:color="auto"/>
        <w:bottom w:val="none" w:sz="0" w:space="0" w:color="auto"/>
        <w:right w:val="none" w:sz="0" w:space="0" w:color="auto"/>
      </w:divBdr>
    </w:div>
    <w:div w:id="1591810073">
      <w:bodyDiv w:val="1"/>
      <w:marLeft w:val="0"/>
      <w:marRight w:val="0"/>
      <w:marTop w:val="0"/>
      <w:marBottom w:val="0"/>
      <w:divBdr>
        <w:top w:val="none" w:sz="0" w:space="0" w:color="auto"/>
        <w:left w:val="none" w:sz="0" w:space="0" w:color="auto"/>
        <w:bottom w:val="none" w:sz="0" w:space="0" w:color="auto"/>
        <w:right w:val="none" w:sz="0" w:space="0" w:color="auto"/>
      </w:divBdr>
      <w:divsChild>
        <w:div w:id="8750386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2383307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595213178">
      <w:bodyDiv w:val="1"/>
      <w:marLeft w:val="0"/>
      <w:marRight w:val="0"/>
      <w:marTop w:val="0"/>
      <w:marBottom w:val="0"/>
      <w:divBdr>
        <w:top w:val="none" w:sz="0" w:space="0" w:color="auto"/>
        <w:left w:val="none" w:sz="0" w:space="0" w:color="auto"/>
        <w:bottom w:val="none" w:sz="0" w:space="0" w:color="auto"/>
        <w:right w:val="none" w:sz="0" w:space="0" w:color="auto"/>
      </w:divBdr>
    </w:div>
    <w:div w:id="1635872882">
      <w:bodyDiv w:val="1"/>
      <w:marLeft w:val="0"/>
      <w:marRight w:val="0"/>
      <w:marTop w:val="0"/>
      <w:marBottom w:val="0"/>
      <w:divBdr>
        <w:top w:val="none" w:sz="0" w:space="0" w:color="auto"/>
        <w:left w:val="none" w:sz="0" w:space="0" w:color="auto"/>
        <w:bottom w:val="none" w:sz="0" w:space="0" w:color="auto"/>
        <w:right w:val="none" w:sz="0" w:space="0" w:color="auto"/>
      </w:divBdr>
    </w:div>
    <w:div w:id="1722901221">
      <w:bodyDiv w:val="1"/>
      <w:marLeft w:val="0"/>
      <w:marRight w:val="0"/>
      <w:marTop w:val="0"/>
      <w:marBottom w:val="0"/>
      <w:divBdr>
        <w:top w:val="none" w:sz="0" w:space="0" w:color="auto"/>
        <w:left w:val="none" w:sz="0" w:space="0" w:color="auto"/>
        <w:bottom w:val="none" w:sz="0" w:space="0" w:color="auto"/>
        <w:right w:val="none" w:sz="0" w:space="0" w:color="auto"/>
      </w:divBdr>
    </w:div>
    <w:div w:id="1726565488">
      <w:bodyDiv w:val="1"/>
      <w:marLeft w:val="0"/>
      <w:marRight w:val="0"/>
      <w:marTop w:val="0"/>
      <w:marBottom w:val="0"/>
      <w:divBdr>
        <w:top w:val="none" w:sz="0" w:space="0" w:color="auto"/>
        <w:left w:val="none" w:sz="0" w:space="0" w:color="auto"/>
        <w:bottom w:val="none" w:sz="0" w:space="0" w:color="auto"/>
        <w:right w:val="none" w:sz="0" w:space="0" w:color="auto"/>
      </w:divBdr>
    </w:div>
    <w:div w:id="1816025746">
      <w:bodyDiv w:val="1"/>
      <w:marLeft w:val="0"/>
      <w:marRight w:val="0"/>
      <w:marTop w:val="0"/>
      <w:marBottom w:val="0"/>
      <w:divBdr>
        <w:top w:val="none" w:sz="0" w:space="0" w:color="auto"/>
        <w:left w:val="none" w:sz="0" w:space="0" w:color="auto"/>
        <w:bottom w:val="none" w:sz="0" w:space="0" w:color="auto"/>
        <w:right w:val="none" w:sz="0" w:space="0" w:color="auto"/>
      </w:divBdr>
    </w:div>
    <w:div w:id="1842816819">
      <w:bodyDiv w:val="1"/>
      <w:marLeft w:val="0"/>
      <w:marRight w:val="0"/>
      <w:marTop w:val="0"/>
      <w:marBottom w:val="0"/>
      <w:divBdr>
        <w:top w:val="none" w:sz="0" w:space="0" w:color="auto"/>
        <w:left w:val="none" w:sz="0" w:space="0" w:color="auto"/>
        <w:bottom w:val="none" w:sz="0" w:space="0" w:color="auto"/>
        <w:right w:val="none" w:sz="0" w:space="0" w:color="auto"/>
      </w:divBdr>
    </w:div>
    <w:div w:id="1915822944">
      <w:bodyDiv w:val="1"/>
      <w:marLeft w:val="0"/>
      <w:marRight w:val="0"/>
      <w:marTop w:val="0"/>
      <w:marBottom w:val="0"/>
      <w:divBdr>
        <w:top w:val="none" w:sz="0" w:space="0" w:color="auto"/>
        <w:left w:val="none" w:sz="0" w:space="0" w:color="auto"/>
        <w:bottom w:val="none" w:sz="0" w:space="0" w:color="auto"/>
        <w:right w:val="none" w:sz="0" w:space="0" w:color="auto"/>
      </w:divBdr>
    </w:div>
    <w:div w:id="1932396332">
      <w:bodyDiv w:val="1"/>
      <w:marLeft w:val="0"/>
      <w:marRight w:val="0"/>
      <w:marTop w:val="0"/>
      <w:marBottom w:val="0"/>
      <w:divBdr>
        <w:top w:val="none" w:sz="0" w:space="0" w:color="auto"/>
        <w:left w:val="none" w:sz="0" w:space="0" w:color="auto"/>
        <w:bottom w:val="none" w:sz="0" w:space="0" w:color="auto"/>
        <w:right w:val="none" w:sz="0" w:space="0" w:color="auto"/>
      </w:divBdr>
    </w:div>
    <w:div w:id="2050252173">
      <w:bodyDiv w:val="1"/>
      <w:marLeft w:val="0"/>
      <w:marRight w:val="0"/>
      <w:marTop w:val="0"/>
      <w:marBottom w:val="0"/>
      <w:divBdr>
        <w:top w:val="none" w:sz="0" w:space="0" w:color="auto"/>
        <w:left w:val="none" w:sz="0" w:space="0" w:color="auto"/>
        <w:bottom w:val="none" w:sz="0" w:space="0" w:color="auto"/>
        <w:right w:val="none" w:sz="0" w:space="0" w:color="auto"/>
      </w:divBdr>
    </w:div>
    <w:div w:id="2051880579">
      <w:bodyDiv w:val="1"/>
      <w:marLeft w:val="0"/>
      <w:marRight w:val="0"/>
      <w:marTop w:val="0"/>
      <w:marBottom w:val="0"/>
      <w:divBdr>
        <w:top w:val="none" w:sz="0" w:space="0" w:color="auto"/>
        <w:left w:val="none" w:sz="0" w:space="0" w:color="auto"/>
        <w:bottom w:val="none" w:sz="0" w:space="0" w:color="auto"/>
        <w:right w:val="none" w:sz="0" w:space="0" w:color="auto"/>
      </w:divBdr>
    </w:div>
    <w:div w:id="2083285854">
      <w:bodyDiv w:val="1"/>
      <w:marLeft w:val="0"/>
      <w:marRight w:val="0"/>
      <w:marTop w:val="0"/>
      <w:marBottom w:val="0"/>
      <w:divBdr>
        <w:top w:val="none" w:sz="0" w:space="0" w:color="auto"/>
        <w:left w:val="none" w:sz="0" w:space="0" w:color="auto"/>
        <w:bottom w:val="none" w:sz="0" w:space="0" w:color="auto"/>
        <w:right w:val="none" w:sz="0" w:space="0" w:color="auto"/>
      </w:divBdr>
    </w:div>
    <w:div w:id="212942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2959-6E64-49F6-AEE7-1076EC5D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5738</Words>
  <Characters>32711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 Tran Van</dc:creator>
  <cp:keywords/>
  <dc:description/>
  <cp:lastModifiedBy>User</cp:lastModifiedBy>
  <cp:revision>3</cp:revision>
  <cp:lastPrinted>2026-01-26T03:59:00Z</cp:lastPrinted>
  <dcterms:created xsi:type="dcterms:W3CDTF">2026-03-29T08:42:00Z</dcterms:created>
  <dcterms:modified xsi:type="dcterms:W3CDTF">2026-03-29T08:43:00Z</dcterms:modified>
</cp:coreProperties>
</file>